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6"/>
        </w:rPr>
        <w:t xml:space="preserve">公开招标文件</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1"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1"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1"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1"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项目编号：JSZC-320116-LHYX-G2026-0001</w:t>
      </w:r>
      <w:r/>
    </w:p>
    <w:p>
      <w:pPr>
        <w:ind w:left="0" w:right="0" w:firstLine="720"/>
        <w:spacing w:before="1"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项目名称：雄州街道为老年人购买2026年意外伤害保险</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采购人：南京市六合区人民政府雄州街道办事处</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代理人：南京宇厦工程管理咨询有限公司</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二〇二六年一月</w:t>
      </w:r>
      <w:r/>
    </w:p>
    <w:p>
      <w:pPr>
        <w:pStyle w:val="628"/>
        <w:ind w:left="1436" w:right="1443" w:firstLine="0"/>
        <w:jc w:val="center"/>
        <w:spacing w:before="27" w:after="266"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28"/>
        <w:ind w:left="1436" w:right="1443" w:firstLine="0"/>
        <w:jc w:val="center"/>
        <w:spacing w:before="27" w:after="266"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28"/>
        <w:ind w:left="1436" w:right="1443" w:firstLine="0"/>
        <w:jc w:val="center"/>
        <w:spacing w:before="27" w:after="266"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28"/>
        <w:ind w:left="1436" w:right="1443" w:firstLine="0"/>
        <w:jc w:val="center"/>
        <w:spacing w:before="27" w:after="266"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483" w:right="0" w:firstLine="0"/>
        <w:spacing w:before="222" w:after="320" w:line="519" w:lineRule="atLeast"/>
        <w:tabs>
          <w:tab w:val="left" w:pos="9403" w:leader="none"/>
        </w:tabs>
        <w:pBdr>
          <w:top w:val="none" w:color="000000" w:sz="4" w:space="0"/>
          <w:left w:val="none" w:color="000000" w:sz="4" w:space="0"/>
          <w:bottom w:val="none" w:color="000000" w:sz="4" w:space="0"/>
          <w:right w:val="none" w:color="000000" w:sz="4" w:space="0"/>
        </w:pBdr>
      </w:pPr>
      <w:r/>
      <w:hyperlink r:id="rId11" w:tooltip="#_Toc198739431" w:history="1">
        <w:r>
          <w:rPr>
            <w:rStyle w:val="670"/>
            <w:rFonts w:ascii="SimSun" w:hAnsi="SimSun" w:eastAsia="SimSun" w:cs="SimSun"/>
            <w:b/>
            <w:color w:val="0000ee"/>
            <w:sz w:val="32"/>
            <w:u w:val="single"/>
          </w:rPr>
          <w:t xml:space="preserve">第一章 投标邀请</w:t>
        </w:r>
        <w:r>
          <w:rPr>
            <w:rStyle w:val="670"/>
            <w:rFonts w:ascii="SimSun" w:hAnsi="SimSun" w:eastAsia="SimSun" w:cs="SimSun"/>
            <w:color w:val="0000ee"/>
            <w:sz w:val="32"/>
            <w:u w:val="single"/>
          </w:rPr>
          <w:tab/>
        </w:r>
      </w:hyperlink>
      <w:r/>
      <w:r/>
    </w:p>
    <w:p>
      <w:pPr>
        <w:ind w:left="483" w:right="0" w:firstLine="0"/>
        <w:spacing w:before="222" w:after="320" w:line="519" w:lineRule="atLeast"/>
        <w:tabs>
          <w:tab w:val="left" w:pos="9403" w:leader="none"/>
        </w:tabs>
        <w:pBdr>
          <w:top w:val="none" w:color="000000" w:sz="4" w:space="0"/>
          <w:left w:val="none" w:color="000000" w:sz="4" w:space="0"/>
          <w:bottom w:val="none" w:color="000000" w:sz="4" w:space="0"/>
          <w:right w:val="none" w:color="000000" w:sz="4" w:space="0"/>
        </w:pBdr>
      </w:pPr>
      <w:r/>
      <w:hyperlink r:id="rId12" w:tooltip="#_Toc198739432" w:history="1">
        <w:r>
          <w:rPr>
            <w:rStyle w:val="670"/>
            <w:rFonts w:ascii="SimSun" w:hAnsi="SimSun" w:eastAsia="SimSun" w:cs="SimSun"/>
            <w:b/>
            <w:color w:val="0000ee"/>
            <w:sz w:val="32"/>
            <w:u w:val="single"/>
          </w:rPr>
          <w:t xml:space="preserve">第二章 投标人须知</w:t>
        </w:r>
        <w:r>
          <w:rPr>
            <w:rStyle w:val="670"/>
            <w:rFonts w:ascii="SimSun" w:hAnsi="SimSun" w:eastAsia="SimSun" w:cs="SimSun"/>
            <w:color w:val="0000ee"/>
            <w:sz w:val="32"/>
            <w:u w:val="single"/>
          </w:rPr>
          <w:tab/>
        </w:r>
      </w:hyperlink>
      <w:r/>
      <w:r/>
    </w:p>
    <w:p>
      <w:pPr>
        <w:ind w:left="483" w:right="0" w:firstLine="0"/>
        <w:spacing w:before="222" w:after="320" w:line="519" w:lineRule="atLeast"/>
        <w:tabs>
          <w:tab w:val="left" w:pos="9403" w:leader="none"/>
        </w:tabs>
        <w:pBdr>
          <w:top w:val="none" w:color="000000" w:sz="4" w:space="0"/>
          <w:left w:val="none" w:color="000000" w:sz="4" w:space="0"/>
          <w:bottom w:val="none" w:color="000000" w:sz="4" w:space="0"/>
          <w:right w:val="none" w:color="000000" w:sz="4" w:space="0"/>
        </w:pBdr>
      </w:pPr>
      <w:r/>
      <w:hyperlink r:id="rId13" w:tooltip="#_Toc198739433" w:history="1">
        <w:r>
          <w:rPr>
            <w:rStyle w:val="670"/>
            <w:rFonts w:ascii="SimSun" w:hAnsi="SimSun" w:eastAsia="SimSun" w:cs="SimSun"/>
            <w:b/>
            <w:color w:val="0000ee"/>
            <w:sz w:val="32"/>
            <w:u w:val="single"/>
          </w:rPr>
          <w:t xml:space="preserve">第三章 采购需求</w:t>
        </w:r>
        <w:r>
          <w:rPr>
            <w:rStyle w:val="670"/>
            <w:rFonts w:ascii="SimSun" w:hAnsi="SimSun" w:eastAsia="SimSun" w:cs="SimSun"/>
            <w:color w:val="0000ee"/>
            <w:sz w:val="32"/>
            <w:u w:val="single"/>
          </w:rPr>
          <w:tab/>
        </w:r>
      </w:hyperlink>
      <w:r/>
      <w:r/>
    </w:p>
    <w:p>
      <w:pPr>
        <w:ind w:left="483" w:right="0" w:firstLine="0"/>
        <w:spacing w:before="222" w:after="320" w:line="519" w:lineRule="atLeast"/>
        <w:tabs>
          <w:tab w:val="left" w:pos="9403" w:leader="none"/>
        </w:tabs>
        <w:pBdr>
          <w:top w:val="none" w:color="000000" w:sz="4" w:space="0"/>
          <w:left w:val="none" w:color="000000" w:sz="4" w:space="0"/>
          <w:bottom w:val="none" w:color="000000" w:sz="4" w:space="0"/>
          <w:right w:val="none" w:color="000000" w:sz="4" w:space="0"/>
        </w:pBdr>
      </w:pPr>
      <w:r/>
      <w:hyperlink r:id="rId14" w:tooltip="#_Toc198739434" w:history="1">
        <w:r>
          <w:rPr>
            <w:rStyle w:val="670"/>
            <w:rFonts w:ascii="SimSun" w:hAnsi="SimSun" w:eastAsia="SimSun" w:cs="SimSun"/>
            <w:b/>
            <w:color w:val="0000ee"/>
            <w:sz w:val="32"/>
            <w:u w:val="single"/>
          </w:rPr>
          <w:t xml:space="preserve">第四章 评标标准</w:t>
        </w:r>
        <w:r>
          <w:rPr>
            <w:rStyle w:val="670"/>
            <w:rFonts w:ascii="SimSun" w:hAnsi="SimSun" w:eastAsia="SimSun" w:cs="SimSun"/>
            <w:color w:val="0000ee"/>
            <w:sz w:val="32"/>
            <w:u w:val="single"/>
          </w:rPr>
          <w:tab/>
          <w:t xml:space="preserve">1</w:t>
        </w:r>
      </w:hyperlink>
      <w:r>
        <w:rPr>
          <w:rFonts w:ascii="SimSun" w:hAnsi="SimSun" w:eastAsia="SimSun" w:cs="SimSun"/>
          <w:color w:val="000000"/>
          <w:sz w:val="32"/>
        </w:rPr>
        <w:t xml:space="preserve">9</w:t>
      </w:r>
      <w:r/>
    </w:p>
    <w:p>
      <w:pPr>
        <w:ind w:left="483" w:right="0" w:firstLine="0"/>
        <w:spacing w:before="222" w:after="320" w:line="519" w:lineRule="atLeast"/>
        <w:tabs>
          <w:tab w:val="left" w:pos="9403" w:leader="none"/>
        </w:tabs>
        <w:pBdr>
          <w:top w:val="none" w:color="000000" w:sz="4" w:space="0"/>
          <w:left w:val="none" w:color="000000" w:sz="4" w:space="0"/>
          <w:bottom w:val="none" w:color="000000" w:sz="4" w:space="0"/>
          <w:right w:val="none" w:color="000000" w:sz="4" w:space="0"/>
        </w:pBdr>
      </w:pPr>
      <w:r/>
      <w:hyperlink r:id="rId15" w:tooltip="#_Toc198739435" w:history="1">
        <w:r>
          <w:rPr>
            <w:rStyle w:val="670"/>
            <w:rFonts w:ascii="SimSun" w:hAnsi="SimSun" w:eastAsia="SimSun" w:cs="SimSun"/>
            <w:b/>
            <w:color w:val="0000ee"/>
            <w:sz w:val="32"/>
            <w:u w:val="single"/>
          </w:rPr>
          <w:t xml:space="preserve">第五章 合同主要条款及格式</w:t>
        </w:r>
        <w:r>
          <w:rPr>
            <w:rStyle w:val="670"/>
            <w:rFonts w:ascii="SimSun" w:hAnsi="SimSun" w:eastAsia="SimSun" w:cs="SimSun"/>
            <w:color w:val="0000ee"/>
            <w:sz w:val="32"/>
            <w:u w:val="single"/>
          </w:rPr>
          <w:tab/>
          <w:t xml:space="preserve">2</w:t>
        </w:r>
      </w:hyperlink>
      <w:r>
        <w:rPr>
          <w:rFonts w:ascii="SimSun" w:hAnsi="SimSun" w:eastAsia="SimSun" w:cs="SimSun"/>
          <w:color w:val="000000"/>
          <w:sz w:val="32"/>
        </w:rPr>
        <w:t xml:space="preserve">1</w:t>
      </w:r>
      <w:r/>
    </w:p>
    <w:p>
      <w:pPr>
        <w:ind w:left="483" w:right="0" w:firstLine="0"/>
        <w:spacing w:before="222" w:after="320" w:line="519" w:lineRule="atLeast"/>
        <w:tabs>
          <w:tab w:val="left" w:pos="9403" w:leader="none"/>
        </w:tabs>
        <w:pBdr>
          <w:top w:val="none" w:color="000000" w:sz="4" w:space="0"/>
          <w:left w:val="none" w:color="000000" w:sz="4" w:space="0"/>
          <w:bottom w:val="none" w:color="000000" w:sz="4" w:space="0"/>
          <w:right w:val="none" w:color="000000" w:sz="4" w:space="0"/>
        </w:pBdr>
      </w:pPr>
      <w:r/>
      <w:hyperlink r:id="rId16" w:tooltip="#_Toc198739436" w:history="1">
        <w:r>
          <w:rPr>
            <w:rStyle w:val="670"/>
            <w:rFonts w:ascii="SimSun" w:hAnsi="SimSun" w:eastAsia="SimSun" w:cs="SimSun"/>
            <w:b/>
            <w:color w:val="0000ee"/>
            <w:sz w:val="32"/>
            <w:u w:val="single"/>
          </w:rPr>
          <w:t xml:space="preserve">第六章 投标文件格式及附件</w:t>
        </w:r>
        <w:r>
          <w:rPr>
            <w:rStyle w:val="670"/>
            <w:rFonts w:ascii="SimSun" w:hAnsi="SimSun" w:eastAsia="SimSun" w:cs="SimSun"/>
            <w:color w:val="0000ee"/>
            <w:sz w:val="32"/>
            <w:u w:val="single"/>
          </w:rPr>
          <w:tab/>
          <w:t xml:space="preserve">2</w:t>
        </w:r>
      </w:hyperlink>
      <w:r>
        <w:rPr>
          <w:rFonts w:ascii="SimSun" w:hAnsi="SimSun" w:eastAsia="SimSun" w:cs="SimSun"/>
          <w:color w:val="000000"/>
          <w:sz w:val="32"/>
        </w:rPr>
        <w:t xml:space="preserve">5</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0"/>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51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雄州街道为老年人购买2026年意外伤害保险</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2026年1 月30 日9时00分</w:t>
      </w:r>
      <w:r>
        <w:rPr>
          <w:rFonts w:ascii="SimSun" w:hAnsi="SimSun" w:eastAsia="SimSun" w:cs="SimSun"/>
          <w:color w:val="000000"/>
          <w:sz w:val="24"/>
        </w:rPr>
        <w:t xml:space="preserve">（北京时间）前递交投标文件。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1.1、项目编号：JSZC-320116-LHYX-G2026-0001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1.2、项目名称：雄州街道为老年人购买2026年意外伤害保险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1.3、预算金额：175万元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1.4、最高限价：175万元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1.5、采购需求：雄州街道为老年人购买2026年意外伤害保险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1.6、保险期限：1年（2025年12月31日-2026年12月30日）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1.7、本项目不接受联合体投标。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2.1、满足《中华人民共和国政府采购法》第二十二条规定：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具有独立承担民事责任的能力（提供法人或者其他组织的营业执照等证明材料，自然人的身份证明）</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具有良好的商业信誉和健全的财务会计制度（提供参加本次政府采购活动前经审计的财务报告或银行出具的资信证明或其他会计报表等，成立不满一年不需提供</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有依法缴纳税收和社会保障资金的良好记录（提供参加本次政府采购活动前六个月内（至少一个月）依法缴纳税收和社会保障资金的相关材料</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具有履行合同所必需的设备和专业技术能力（根据项目需求提供履行合同所必需的设备和专业技术能力的证明材料或相关加盖公章的承诺函</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参加政府采购活动前三年内，在经营活动中没有重大违法记录（提供参加本次政府采购活动前3年内在经营活动中没有重大违法记录的书面声明</w:t>
      </w:r>
      <w:r>
        <w:rPr>
          <w:rFonts w:ascii="SimSun" w:hAnsi="SimSun" w:eastAsia="SimSun" w:cs="SimSun"/>
          <w:color w:val="000000"/>
          <w:sz w:val="24"/>
        </w:rPr>
        <w:t xml:space="preserve">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投标人</w:t>
      </w:r>
      <w:r>
        <w:rPr>
          <w:rFonts w:ascii="SimSun" w:hAnsi="SimSun" w:eastAsia="SimSun" w:cs="SimSun"/>
          <w:color w:val="000000"/>
          <w:sz w:val="24"/>
        </w:rPr>
        <w:t xml:space="preserve">未被“信用中国”网站（www.creditchina.gov.cn）列入失信被执行人、重大税收违法案件当事人名单、政府采购严重失信行为记录名单（提供承诺书）。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2.2、落实政府采购政策需满足的资格要求：无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2.3、本项目的特定资格要求：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（1）投标人为经国家保险监督管理机构批准设立且持有《中华人民共和国经营保险业务许可证》的具有经营意外伤害、健康保险业务资质的保险公司。</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（2）同一保险总公司仅能有一家分支机构参与本项目投标。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（3）投标人符合国家金融监督管理总局及其江苏监管局规定的其他条件。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方式：网上获取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 月 30日9时00分（北京时间）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1、本项目需要使用CA数字证书制作、上传电子投标文件完成电子投标，请投标人在参加投标活动前办理好CA数字证书申领及电子签章等操作。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7" w:tooltip="https://njgc.jfh.com/" w:history="1">
        <w:r>
          <w:rPr>
            <w:rStyle w:val="670"/>
            <w:rFonts w:ascii="SimSun" w:hAnsi="SimSun" w:eastAsia="SimSun" w:cs="SimSun"/>
            <w:color w:val="0000ee"/>
            <w:sz w:val="24"/>
            <w:u w:val="single"/>
          </w:rPr>
          <w:t xml:space="preserve">https://njgc.jfh.com/</w:t>
        </w:r>
      </w:hyperlink>
      <w:r>
        <w:rPr>
          <w:rFonts w:ascii="SimSun" w:hAnsi="SimSun" w:eastAsia="SimSun" w:cs="SimSun"/>
          <w:color w:val="000000"/>
          <w:sz w:val="24"/>
        </w:rPr>
        <w:t xml:space="preserve">）‘南京市政府采购投标人诚信档案’系统链接打开系统页面（</w:t>
      </w:r>
      <w:hyperlink r:id="rId18" w:tooltip="http://180.101.238.212:8280/hodeframe2018_cxda/index.action;jsessionid=769BA9C8E1729422E7173B991C8EC1E5" w:history="1">
        <w:r>
          <w:rPr>
            <w:rStyle w:val="670"/>
            <w:rFonts w:ascii="SimSun" w:hAnsi="SimSun" w:eastAsia="SimSun" w:cs="SimSun"/>
            <w:color w:val="0000ee"/>
            <w:sz w:val="24"/>
            <w:u w:val="single"/>
          </w:rPr>
          <w:t xml:space="preserve">http://180.101.238.212:8280/hodeframe2018_cxda/index.action;jsessionid=769BA9C8E1729422E7173B991C8EC1E5</w:t>
        </w:r>
      </w:hyperlink>
      <w:r>
        <w:rPr>
          <w:rFonts w:ascii="SimSun" w:hAnsi="SimSun" w:eastAsia="SimSun" w:cs="SimSun"/>
          <w:color w:val="000000"/>
          <w:sz w:val="24"/>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5、在政府采购资格审查环节，投标人只需提供《南京市政府采购投标人信用记录表暨信用承诺书》，即可替代以下证明材料：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（6）未被列入失信被执行人、重大税收违法失信主体、政府采购严重违法失信行为记录名单的证明材料。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投标人在中标（成交）后，应按采购文件要求，将上述由信用承诺书替代的证明材料提交采购人或采购代理机构核验。经核验无误后，由采购人或采购代理机构发出中标（成交）通知书。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投标人涉及以下情形的，不适用信用承诺：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（1）投标人被列入严重失信主体名单；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投标人对信用承诺内容的真实性、合法性、有效性负责。如作出虚假信用承诺，视同为“提供虚假材料谋取中标、成交”的违法行为。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拒绝下述</w:t>
      </w:r>
      <w:r>
        <w:rPr>
          <w:rFonts w:ascii="SimSun" w:hAnsi="SimSun" w:eastAsia="SimSun" w:cs="SimSun"/>
          <w:color w:val="000000"/>
          <w:sz w:val="24"/>
        </w:rPr>
        <w:t xml:space="preserve">投标人参加本次采购活动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（1）投标人单位负责人为同一人或者存在直接控股、管理关系的不同投标人，不得参加同一合同项下的政府采购活动；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（2）为采购项目提供整体设计、规范编制或者项目管理、监理、检测等服务的投标人，不得参加本项目的采购活动。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单位名称：南京市六合区人民政府雄州街道办事处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单位地址：南京市六合区雄州街道299号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联系人：曹主任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联系电话：18551619990</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名称：南京宇厦工程管理咨询有限公司</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地址：南京市六合区雄州东路85号理想城1栋1609</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联系方式：13401994299</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项目联系人：厉工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电话：13401994299</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2.1、“采购人”是指依法进行政府采购的国家机关、事业单位、团体组织。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2.2、“投标人”是指参加投标竞争，并符合招标文件规定资格条件的法人、其他组织或者自然人。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2.3、“采购代理机构”是指集中采购机构和集中采购机构以外的采购代理机构，集中采购机构以外的采购代理机构，是从事采购代理业务的社会中介机构。</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3.1政府采购促进中小企业发展，在政府采购活动中，供应商提供的货物、工程或者服务符合下列情形的，享受中小企业扶持政策：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（1）在货物采购项目中，货物由中小企业制造，即货物由中小企业生产且使用该中小企业商号或者注册商标；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（2）在工程采购项目中，工程由中小企业承建，即工程施工单位为中小企业；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（3）在服务采购项目中，服务由中小企业承接，即提供服务的人员为中小企业依照《中华人民共和国劳动合同法》订立劳动合同的从业人员。</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在货物采购项目中，供应商提供的货物既有中小企业制造货物，也有大型企业制造货物的，不享受中小企业扶持政策。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以联合体形式参加政府采购活动，联合体各方均为中小企业的，联合体视同中小企业。其中，联合体各方均为小微企业的，联合体视同小微企业。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中小企业供应商参加政府采购活动，应当出具《中小企业声明函》（格式见后附件），否则不得享受相关中小企业扶持政策。</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本项目所属行业为批发业。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3.5、提供的产品属于信息安全产品的，供应商应当选择经国家认证的信息安全产品，并提供由中国信息安全认证中心按国家标准认证颁发的有效认证证书。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3.6、提供的产品属于政府强制采购节能产品的，供应商应当选择经过认证的节能产品，并提供有效的节能产品认证证书。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3.7、提供的产品属于环境标志产品的,供应商应当选择经过认证的环境标志产品,并提供有效的环境标志产品认证证书。</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4.1、招标文件包括以下主要内容：（1）投标邀请（2）投标人须知（3）合同文本（4）采购需求（5）评标方法与评标标准（6）投标文件格式。</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4.2、招标的最小单位是包。招标货物数量及技术要求中未分包的，投标人对要求提供的货物和服务不得部分投标；招标货物数量及技术要求中已经分包的，应当以包为单位投标。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4.3、采购代理机构如果要求投标人按照招标文件规定提交备选投标方案的，投标人可以提交备选方案；否则，备选方案将被拒绝。</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5.2、采购人或者采购代理机构在招标文件要求提交投标文件截止时间三日前，有权决定延长投标截止时间和开标时间，并在原采购信息发布媒体上发布变更公告。</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6.3、投标人应用人民币报价。投标产品如果是进口产品的，应提供人民币与外币之间的汇率；报价单位为“元”。</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6.4、投标文件应字迹清楚、内容齐全、不得涂改。如有修改，修改处须有投标人公章或投标专用章和法定代表人或其授权的投标人代表签字。</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6.5、投标人应在投标文件中写清相应的项目编号、项目名称、分包号、投标人全称、地址、电话、传真等。</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7、投标文件的组成</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7.1、投标人应当根据招标文件要求编制投标文件，投标文件应对招标文件提出的要求和条件作出实质性响应，并在偏离表等处逐条标明满足与否。</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7.2、投标文件由商务部分、技术部分、价格部分以及其他部分组成。</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8、投标文件的商务部分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8.1、商务部分是证明投标人有资格参加投标和中标后有能力履行合同的文件，这些文件应能满足招标的要求，包括但不限于下列文件（加</w:t>
      </w:r>
      <w:r>
        <w:rPr>
          <w:rFonts w:ascii="SimSun" w:hAnsi="SimSun" w:eastAsia="SimSun" w:cs="SimSun"/>
          <w:color w:val="000000"/>
          <w:sz w:val="24"/>
        </w:rPr>
        <w:t xml:space="preserve">★项</w:t>
      </w:r>
      <w:r>
        <w:rPr>
          <w:rFonts w:ascii="SimSun" w:hAnsi="SimSun" w:eastAsia="SimSun" w:cs="SimSun"/>
          <w:color w:val="000000"/>
          <w:sz w:val="22"/>
        </w:rPr>
        <w:t xml:space="preserve">材料如提供不全或不满足招标文件的实质性要求，评标委员会有权否决投标人的投标）：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4"/>
        </w:rPr>
        <w:t xml:space="preserve">★</w:t>
      </w:r>
      <w:r>
        <w:rPr>
          <w:rFonts w:ascii="SimSun" w:hAnsi="SimSun" w:eastAsia="SimSun" w:cs="SimSun"/>
          <w:color w:val="000000"/>
          <w:sz w:val="22"/>
        </w:rPr>
        <w:t xml:space="preserve">投标函；</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4"/>
        </w:rPr>
        <w:t xml:space="preserve">★</w:t>
      </w:r>
      <w:r>
        <w:rPr>
          <w:rFonts w:ascii="SimSun" w:hAnsi="SimSun" w:eastAsia="SimSun" w:cs="SimSun"/>
          <w:color w:val="000000"/>
          <w:sz w:val="22"/>
        </w:rPr>
        <w:t xml:space="preserve">法人授权书；</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4"/>
        </w:rPr>
        <w:t xml:space="preserve">★</w:t>
      </w:r>
      <w:r>
        <w:rPr>
          <w:rFonts w:ascii="SimSun" w:hAnsi="SimSun" w:eastAsia="SimSun" w:cs="SimSun"/>
          <w:color w:val="000000"/>
          <w:sz w:val="22"/>
        </w:rPr>
        <w:t xml:space="preserve">第一章投标邀请中2.1《中华人民共和国政府采购法》规定的资格条件证明文件；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4"/>
        </w:rPr>
        <w:t xml:space="preserve">★</w:t>
      </w:r>
      <w:r>
        <w:rPr>
          <w:rFonts w:ascii="SimSun" w:hAnsi="SimSun" w:eastAsia="SimSun" w:cs="SimSun"/>
          <w:color w:val="000000"/>
          <w:sz w:val="22"/>
        </w:rPr>
        <w:t xml:space="preserve">第一章投标邀请中2.3采购人根据采购项目的特殊要求规定的特定条件证明文件；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4"/>
        </w:rPr>
        <w:t xml:space="preserve">★</w:t>
      </w:r>
      <w:r>
        <w:rPr>
          <w:rFonts w:ascii="SimSun" w:hAnsi="SimSun" w:eastAsia="SimSun" w:cs="SimSun"/>
          <w:color w:val="000000"/>
          <w:sz w:val="22"/>
        </w:rPr>
        <w:t xml:space="preserve">开标一览表；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（6）分项报价表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2"/>
        </w:rPr>
        <w:t xml:space="preserve">《南京市政府采购投标人信用记录表暨信用承诺书》</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rPr>
          <w:rFonts w:ascii="SimSun" w:hAnsi="SimSun" w:eastAsia="SimSun" w:cs="SimSun"/>
          <w:color w:val="000000"/>
          <w:sz w:val="24"/>
        </w:rPr>
        <w:t xml:space="preserve">★</w:t>
      </w:r>
      <w:r>
        <w:rPr>
          <w:rFonts w:ascii="SimSun" w:hAnsi="SimSun" w:eastAsia="SimSun" w:cs="SimSun"/>
          <w:color w:val="000000"/>
          <w:sz w:val="22"/>
        </w:rPr>
        <w:t xml:space="preserve">商务条款偏离表；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9、投标文件的技术部分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4"/>
        </w:rPr>
        <w:t xml:space="preserve">★</w:t>
      </w:r>
      <w:r>
        <w:rPr>
          <w:rFonts w:ascii="SimSun" w:hAnsi="SimSun" w:eastAsia="SimSun" w:cs="SimSun"/>
          <w:color w:val="000000"/>
          <w:sz w:val="22"/>
        </w:rPr>
        <w:t xml:space="preserve">技术条款偏离表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（3）投标人认为需要提供的其他技术资料。</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10、投标文件的价格部分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10.1、价格部分是对采购标的价格构成的说明，招标文件如无特别说明，每一项货物及服务仅接受一个价格。</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10.2、报价应包含本次招标标的有关的所有费用，以及技术资料、支付给员工的工资和国家强制缴纳的各种社会保障资金，以及投标人认为需要的其他费用等。</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10.3、投标人的任何错漏、优惠、竞争性报价不得作为减轻责任、减少服务、增加收费、降低质量的理由。</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投标人应在《开标一览表》、《分项报价》等标明投标货物和服务的单价、总价以及分项报价。对于采用货币报价的项目，开标一览表中的投标总报价应与投标分项报价表中的投标总报价一致，如不一致评标时以开标一览表中价格为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10.6、本项目预算为：详见第一章。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11、投标文件的其他部分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11.1、其他部分由投标人根据编制投标文件需要提供的其他相关文件组成。</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12、投标保证金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本项目不缴纳投标保证金。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13、投标有效期</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13.1、自开标之日起90天内投标有效，投标有效期从提交投标文件的截止之日起算。</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14、投标文件签署</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14.1、投标文件应按招标文件要求加盖电子章。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15、投标费用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15.1、投标人应承担所有与准备和参加投标有关的费用，无论采购结果如何，采购代理机构和采购人在任何情况下均无义务和责任承担这些费用。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15.2、招标代理服务费：</w:t>
      </w:r>
      <w:r>
        <w:rPr>
          <w:rFonts w:ascii="SimSun" w:hAnsi="SimSun" w:eastAsia="SimSun" w:cs="SimSun"/>
          <w:color w:val="000000"/>
          <w:sz w:val="22"/>
          <w:u w:val="none"/>
        </w:rPr>
        <w:t xml:space="preserve">中标人参照《招标代理服务费管理暂行办</w:t>
      </w:r>
      <w:r>
        <w:rPr>
          <w:rFonts w:ascii="SimSun" w:hAnsi="SimSun" w:eastAsia="SimSun" w:cs="SimSun"/>
          <w:color w:val="000000"/>
          <w:sz w:val="22"/>
        </w:rPr>
        <w:t xml:space="preserve">法》（国家发展计划委员会计价格【2002】1980号）标准计算代理费，收费基价为预算价。本项费用无需在投标报价表中单列。</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16、投标文件的递交</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16.1、投标人应当按照《操作手册》规定，在招标公告规定的投标截止时间前制作并上传电子投标文件。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16.2、投标人应充分考虑网络环境、网络带宽等因素可能对投标产生的影响，如因投标人自身原因造成的电子投标文件上传不成功的，按照本招标文件第二章第25.1条规定做无效投标处理。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16.3、代理机构可以按照规定，通过修改招标文件酌情延长投标截止时间，在此情况下，投标人的所有权利和义务均以延长后新的截止时间为准。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17、有下列情形的投标文件将被拒收</w:t>
      </w:r>
      <w:r>
        <w:rPr>
          <w:rFonts w:ascii="SimSun" w:hAnsi="SimSun" w:eastAsia="SimSun" w:cs="SimSun"/>
          <w:color w:val="000000"/>
          <w:sz w:val="22"/>
        </w:rPr>
        <w:t xml:space="preserve">：</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17.1、投标截止时间后上传的任何投标文件将被拒绝。</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18、投标文件的修改和撤回</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18.1、投标文件的撤回</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18.1.1 投标人可在投标截止时间前撤回其电子投标文件，具体操作方法见《操作手册》。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18.1.2 投标人撤回电子投标文件，则认为其不再参与本项目投标活动。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投标文件的修改</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18.2.1 投标人可在投标截止时间前对其电子投标文件进行修改，具体操作方法见《操作手册》。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18.2.2 投标截止时间之后，投标人不得对其电子投标文件作任何修改。</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在投标截止时间至招标文件中规定的投标有效期满之间的这段时间内，投标人不得撤回其投标。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19、诚实信用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19.1、投标人应当遵循公平竞争的原则，不得恶意串通，不得妨碍其他投标人的竞争行为，不得损害采购人或者其他投标人的合法权益。</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19.2、在评标过程中发现投标人有上述情形的，评标委员会应当认定其投标无效，并书面报告本级财政部门。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20、开标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20.1、采购代理机构将在招标文件确定的时间和地点进行公开开标。投标人按照《操作手册》规定参加开标活动，并在苏采云系统规定的时间内对投标文件进行解密。苏采云系统公布各投标人名称和投标价格。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20.2、投标人在开标过程中涉及到的投标文件解密、开标结果确认等工作，应按照《操作手册》规定执行。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20.3、投标人如果对开标过程和开标结果有疑义，应当根据《操作手册》规定提出，苏采云系统中《开标记录表》公布后5分钟内未提出的，视同认可开标结果。</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21、评标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21.1、评标由依法组建的评标委员会（以下简称“评委会”）进行。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21.2、评委会由采购人代表和有关技术、经济或法律等方面的专家组成，且人员构成符合政府采购有关规定。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21.3、评委会独立工作，负责评审所有投标文件并推荐中标候选人，或根据采购人授权直接确定中标人。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22、评标过程的保密与公正</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22.1、凡是与审查、澄清、评价和比较投标的有关资料以及授标建议等，采购人、评委、代理机构不得向投标人或与评标无关的其他人员透露。</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22.2、投标人不得以任何方式影响评标，否则其投标文件将被作为无效投标文件。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22.3、代理机构和评委会不向未中标的投标人解释未中标原因，也不公布评标过程中的相关细节。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22.4、采用综合评分法的项目，未中标的投标人可于中标结果公告期限届满之日起通过苏采云系统查看本单位的评审得分及排名情况。</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23.投标文件的澄清</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23.1、评标期间，评委会对投标文件中含义不明确、同类问题表述不一致或者有明显文字和计算错误的内容，有权要求投标人作出必要的澄清、说明或者补正。</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评委会并非对每个投标人都做澄清要求。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23.3、接到评委会澄清、说明和补正要求的，投标人如未按规定作出澄清、说明和补正，其风险由投标人自行承担。</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24、投标文件的</w:t>
      </w:r>
      <w:r>
        <w:rPr>
          <w:rFonts w:ascii="SimSun" w:hAnsi="SimSun" w:eastAsia="SimSun" w:cs="SimSun"/>
          <w:b/>
          <w:color w:val="000000"/>
          <w:sz w:val="22"/>
        </w:rPr>
        <w:t xml:space="preserve">审查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24.1、投标文件审查分为资格审查和符合性审查。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24.1.1、资格审查。依据法律法规和招标文件规定，由采购人或代理机构对投标文件中的资格证明文件进行审查，并向评委会反馈审查结论。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采购人进行资格审查时，将在“信用中国”网站（www.creditchina.gov.cn）查询投标人的信用记录，以确定投标人是否具备投标资格，查询结果留存并归档。</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接受联合体的项目，联合体成员存在不良信用记录的，视同联合体存在不良信用记录。</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24.1.2、符合性审查。依据招标文件的规定，由评委会从有效性、完整性和对招标文件的响应程度等方面对投标文件进行审查，以确定是否对招标文件的实质性要求作出响应。</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24.1.3、未通过资格审查或符合性审查的投标人，交易中心将通过苏采云系统告知其具体原因，评标结束后不再接受有关询问。</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24.2、评委会仅对实质性响应招标文件要求的投标文件进行详细评审。实质性响应的投标文件应该是与招标文件要求的全部条款、条件和规格相符，没有重大偏离或保留的文件。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24.3、如果投标文件实质上没有响应招标文件的要求，评委会将予以拒绝，投标人不得通过修改或撤销不合要求的偏离或保留而使其投标成为实质性响应的投标。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24.4、评委会将对确定为实质性响应的投标进行进一步审核，确定其是否有计算上或累加上的算术错误。修正错误的原则如下：</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24.5、评委会将按上述修正错误的方法调整投标文件中的投标报价，并通过苏采云系统告知投标人，调整后的价格对投标人具有约束力。如果投标人不接受修正后的价格，则其投标将被拒绝。</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w:t>
      </w:r>
      <w:r>
        <w:rPr>
          <w:rFonts w:ascii="SimSun" w:hAnsi="SimSun" w:eastAsia="SimSun" w:cs="SimSun"/>
          <w:color w:val="000000"/>
          <w:sz w:val="22"/>
        </w:rPr>
        <w:t xml:space="preserve">4.6、投标人在开、评标全过程中应保持通讯畅通，及时登录苏采云系统查阅、答复相关信息，并安排专人与代理机构及评委会联系。</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25、无效投标和废标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25.1、无效投标情形</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25.1.1、投标人在苏采云系统规定的时间内未成功解密电子投标文件。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25.1.2、投标人未按照招标文件要求上传电子投标文件。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25.1.3、同一投标人提交两个（含两个）以上不同的投标报价。</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25.1.4、投标人不具备招标文件中规定资格要求。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25.1.5、投标人的报价超过了采购预算或最高限价。</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25.1.6、未通过符合性审查。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25.1.7、不符合招标文件中实质性要求和条件（</w:t>
      </w:r>
      <w:r>
        <w:rPr>
          <w:rFonts w:ascii="SimSun" w:hAnsi="SimSun" w:eastAsia="SimSun" w:cs="SimSun"/>
          <w:b/>
          <w:color w:val="000000"/>
          <w:sz w:val="22"/>
        </w:rPr>
        <w:t xml:space="preserve">本文件中斜体且有下划线部分，或者打“★”内容为实质性要求和条件</w:t>
      </w:r>
      <w:r>
        <w:rPr>
          <w:rFonts w:ascii="SimSun" w:hAnsi="SimSun" w:eastAsia="SimSun" w:cs="SimSun"/>
          <w:color w:val="000000"/>
          <w:sz w:val="22"/>
        </w:rPr>
        <w:t xml:space="preserve">）。</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25.1.9、投标文件含有采购人不能接受的附加条件。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25.1.11、采购产品被财政部、国家发改委、生态环境部等列入“节能产品品目清单”强制采购范围，而投标人提供的产品不在强制采购范围内。</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25.1.12、投标文件未按照招标文件要求加盖电子公章。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25.1.13、法律法规及本招标文件规定的其他无效投标情形。</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25.2、废标情形</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25.2.1、符合资格条件的投标人或者对招标文件作实质响应的投标人不足三家。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25.2.2、出现影响采购公正的违法、违规行为。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25.2.3、因重大变故采购任务取消。</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25.2.4、评委会认定招标文件存在歧义、重大缺陷导致评审工作无法进行。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25.2.5、因苏采云系统故障造成开标不成功。</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25.3、如出现投标截止时间后参加投标的投标人或者对招标文件作出实质性响应的投标人不足三家的情况，按政府采购相关规定执行。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26、评标方法和标准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26.3.1、采用综合评分法。综合评分法是指投标文件满足招标文件全部实质性要求，且各分包按照招标文件中规定评审因素量化指标评审得分最高的投标人为中标候选人的评标方法。具体评分标准详见第四章。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26.3.2、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27、确定中标投标人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各分包在综合比较与评价后按照得分高低顺序对投标人进行排列。得分相同的，按投标报价由低到高顺序排列。得分且投标报价相同的，按第四章“评标标准”说明中确定的评分因素优劣顺序排列。评标委员会根据排名确定3名中标候选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27.2、按以下第(1)种方式确定中标投标人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（1）评标委员会直接确定各分包排名第一的中标候选人为中标投标人；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（2）采购人在评标委员会推荐的中标候选人中按顺序确定中标投标人。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按第二种方式确定中标投标人的，代理机构自评审结束之日起两个工作日内将评审报告送交采购人，采购人应当自收到评审报告之日起五个工作日内在评审报告推荐的中标候选人中按顺序确定中标投标人。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27.3、中标人确定后，在省级以上财政部门指定的媒体上公告中标结果，中标公告期为1个工作日。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27.4、中标结果确定后，代理机构将向中标人发出《中标通知书》。中标人可在中标结果公告届满之日起三十日内，登录苏采云系统下载。</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27.5、《中标通知书》是合同的一个组成部分，对采购人和中标人均具有法律效力。《中标通知书》发出后，采购人改变中标结果或者中标人放弃中标项目的，应当依法承担法律责任。</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28、签订合同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28.l、中标人应当在《中标通知书》发出之日起三十日内，按照招标文件确定的事项与采购人签订政府采购合同。采购人于合同签订后2个工作日内通过苏采云系统进行公示。</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28.2、招标文件、中标人的投标文件及招标过程中有关澄清、承诺文件均作为合同附件。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28.4、中标人因自身原因拒绝与采购人签订合同的，不得参加采购人重新组织的采购活动，且将可能被拒绝参加该采购人一年内的其他政府采购活动。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29、提出质疑的投标人应当是参与所质疑项目采购活动的投标人，潜在投标人依法获取其可质疑的采购文件的，可以对采购文件提出质疑。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30.1、对采购文件提出质疑的，为收到采购文件之日或者采购文件公告期限届满之日。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30.2、对采购过程提出质疑的，为各采购程序环节结束之日。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30.3、对中标或者成交结果提出质疑的，为中标或者成交结果公告期限届满之日。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32、投标人提出质疑应提交《质疑函》原件。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投标人如组成联合体参加采购活动，《质疑函范本》中要求加盖公章之处，联合体各方均须按要求加盖公章。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33、投标人（含潜在投标人）对采购方式、采购需求、投标人资格条件及审查结果、评标方法和评标标准、合同文本的询问、质疑向代理机构提出，由代理机构负责答复。</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34、以下情形的质疑不予受理：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34.1、内容不符合《政府采购质疑和投诉办法》第十二条规定的质疑。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34.2、超出政府采购法定期限的质疑。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36.3、以传真、电子邮件等方式递交的非原件形式的质疑。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34.4、未参加采购活动或在采购活动中自身权益未受到损害的投标人所提出的质疑。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34.5、投标人组成联合体参加采购活动，联合体中任何一方或多方未按要求签字或签章、加盖公章的质疑。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34.6、法律法规规定的其他不予受理情形。</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采购需求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：雄州街道为老年人购买2026年意外伤害保险</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二、服务时间：</w:t>
      </w:r>
      <w:r>
        <w:rPr>
          <w:rFonts w:ascii="SimSun" w:hAnsi="SimSun" w:eastAsia="SimSun" w:cs="SimSun"/>
          <w:color w:val="000000"/>
          <w:sz w:val="24"/>
        </w:rPr>
        <w:t xml:space="preserve">1年（2025年12月31日-2026年12月30日）</w:t>
      </w:r>
      <w:r/>
    </w:p>
    <w:p>
      <w:pPr>
        <w:ind w:left="0" w:right="0" w:firstLine="482"/>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三、保险服务内容要求：​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1、保险责任：​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（1）意外身故责任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参保人员遭受意外伤害，并自该意外伤害发生之日起一百八十日内因该意外伤害导致身故的，给付身故保险金。</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（2）意外伤害残责任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参保人员遭受意外伤害，并自该意外伤害发生之日起一百八十日内因该意外伤害导致身体伤残的，根据《人身保险伤残评定及代码》（GB/T 44893－2024）确定的伤残程度，按保险金额乘以该处伤残的伤残等级所对应的保险金给付比例给付伤残保险金。</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（3）意外伤害医疗费用报销责任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参保人员遭受意外伤害，并因该意外伤害在二级以上（含二级）发生的门、急诊、住院医院诊疗，对参保人员每次发生并实际支出的符合当地基本医疗保险支付范围的医疗费用，根据免赔额及比例进行给付。</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（4）意外伤害住院津贴责任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参保人员遭受意外伤害，并因该意外伤害在二级以上（含二级）医院住院冶疗，按照每天给予住院补贴给付，最高赔付180天。</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（5）搭乘交通工具意外伤害责任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参保人员因搭乘特定交通工具过程中遭受意外伤害而导致的身亡给予赔付。​</w:t>
      </w:r>
      <w:r/>
    </w:p>
    <w:p>
      <w:pPr>
        <w:numPr>
          <w:ilvl w:val="0"/>
          <w:numId w:val="5"/>
        </w:numP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责任扩展：</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意外医疗可在街道、乡镇卫生服务中心及非二级以上南京市社保定点医院进行就诊。（提供承诺书）</w:t>
      </w:r>
      <w:r/>
    </w:p>
    <w:p>
      <w:pPr>
        <w:numPr>
          <w:ilvl w:val="0"/>
          <w:numId w:val="6"/>
        </w:numP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保险期限：一年，2025年12月31日零时——2026年12月30日24时（投标人承诺在此期间发生的所有理赔责任均在赔付范围内）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3、被保险人范围：雄州街道60周岁（含）以上的户籍老人，需于2025年12月31日前年满60周岁，意外伤害保险费标准约为：40元/人/年、约4.3万人（具体以村居统计上报的人数为准），全年约175万元。</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4、保险金额：</w:t>
      </w:r>
      <w:r>
        <w:rPr>
          <w:rFonts w:ascii="SimSun" w:hAnsi="SimSun" w:eastAsia="SimSun" w:cs="SimSun"/>
          <w:color w:val="000000"/>
          <w:sz w:val="24"/>
          <w:u w:val="none"/>
        </w:rPr>
        <w:t xml:space="preserve">根据既往各项保险责任，综合承保人群、医疗费用水平等多方面因素，在能维持项目正常运行的情况下，进行提升。</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（1）既往保险金额：</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保险金额</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意外伤害、意外伤残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20000元</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意外伤害医疗费用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2000元</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意外伤害住院津贴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50元/天</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搭乘机动车意外伤害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10000元</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搭乘轨道交通工具意外伤害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10000元</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搭乘水上交通工具意外伤害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10000元</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搭乘飞机意外伤害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10000元</w:t>
            </w:r>
            <w:r/>
          </w:p>
        </w:tc>
      </w:tr>
    </w:tbl>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（2）意外伤害医疗费用报销比例：</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是使用医保结算，对符合当地基本医疗保险支付范围的个人自付费用免赔额0元，按照90%报销比例给付；二是未使用医保结算，对符合当地基本医疗保险支付范围的个人自付费用免赔额0元，按照80%报销比例给付。</w:t>
      </w:r>
      <w:r/>
    </w:p>
    <w:p>
      <w:pPr>
        <w:ind w:left="0" w:right="0" w:firstLine="482"/>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三、理赔服务要求：​</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、理赔流程便捷性：需构建线上线下相结合的便捷理赔渠道。线上应开发专门的理赔 </w:t>
      </w:r>
      <w:r>
        <w:rPr>
          <w:rFonts w:ascii="SimSun" w:hAnsi="SimSun" w:eastAsia="SimSun" w:cs="SimSun"/>
          <w:color w:val="000000"/>
          <w:sz w:val="24"/>
        </w:rPr>
        <w:t xml:space="preserve">APP </w:t>
      </w:r>
      <w:r>
        <w:rPr>
          <w:rFonts w:ascii="Calibri" w:hAnsi="Calibri" w:eastAsia="Calibri" w:cs="Calibri"/>
          <w:color w:val="000000"/>
          <w:sz w:val="24"/>
        </w:rPr>
        <w:t xml:space="preserve">或在官方网站设置便捷的理赔入口，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、理赔响应时间：承诺在接到被保险人或其家属报案后，</w:t>
      </w:r>
      <w:r>
        <w:rPr>
          <w:rFonts w:ascii="SimSun" w:hAnsi="SimSun" w:eastAsia="SimSun" w:cs="SimSun"/>
          <w:color w:val="000000"/>
          <w:sz w:val="24"/>
        </w:rPr>
        <w:t xml:space="preserve">1</w:t>
      </w:r>
      <w:r>
        <w:rPr>
          <w:rFonts w:ascii="Calibri" w:hAnsi="Calibri" w:eastAsia="Calibri" w:cs="Calibri"/>
          <w:color w:val="000000"/>
          <w:sz w:val="24"/>
        </w:rPr>
        <w:t xml:space="preserve">小时内做出响应，及时与报案人取得联系，告知理赔流程与所需材料。在收到齐全的理赔申请资料后，需在规定工作日内完成审核，如符合理赔条件的</w:t>
      </w:r>
      <w:r>
        <w:rPr>
          <w:rFonts w:ascii="SimSun" w:hAnsi="SimSun" w:eastAsia="SimSun" w:cs="SimSun"/>
          <w:color w:val="000000"/>
          <w:sz w:val="24"/>
        </w:rPr>
        <w:t xml:space="preserve">3 - 5 </w:t>
      </w:r>
      <w:r>
        <w:rPr>
          <w:rFonts w:ascii="Calibri" w:hAnsi="Calibri" w:eastAsia="Calibri" w:cs="Calibri"/>
          <w:color w:val="000000"/>
          <w:sz w:val="24"/>
        </w:rPr>
        <w:t xml:space="preserve">个工作日内完成审核工作，</w:t>
      </w:r>
      <w:r>
        <w:rPr>
          <w:rFonts w:ascii="SimSun" w:hAnsi="SimSun" w:eastAsia="SimSun" w:cs="SimSun"/>
          <w:color w:val="000000"/>
          <w:sz w:val="24"/>
        </w:rPr>
        <w:t xml:space="preserve">10 </w:t>
      </w:r>
      <w:r>
        <w:rPr>
          <w:rFonts w:ascii="Calibri" w:hAnsi="Calibri" w:eastAsia="Calibri" w:cs="Calibri"/>
          <w:color w:val="000000"/>
          <w:sz w:val="24"/>
        </w:rPr>
        <w:t xml:space="preserve">个工作日内履行赔偿义务，确保理赔款及时到账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Calibri" w:hAnsi="Calibri" w:eastAsia="Calibri" w:cs="Calibri"/>
          <w:color w:val="000000"/>
          <w:sz w:val="24"/>
        </w:rPr>
        <w:t xml:space="preserve">、理赔服务团队专业性：组建专业的理赔服务团队，团队成员应具备丰富的意外伤害保险理赔经验。明确团队人员的数量配备，确保能够满足本项目理赔服务需求。​</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Calibri" w:hAnsi="Calibri" w:eastAsia="Calibri" w:cs="Calibri"/>
          <w:color w:val="000000"/>
          <w:sz w:val="24"/>
        </w:rPr>
        <w:t xml:space="preserve">、承诺户籍在雄州街道未统计上的老年人也要全额赔付。（提供承诺书）</w:t>
      </w:r>
      <w:r/>
    </w:p>
    <w:p>
      <w:pPr>
        <w:ind w:left="0" w:right="0" w:firstLine="482"/>
        <w:spacing w:before="0" w:after="0" w:line="519" w:lineRule="atLeast"/>
        <w:tabs>
          <w:tab w:val="left" w:pos="40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Calibri" w:hAnsi="Calibri" w:eastAsia="Calibri" w:cs="Calibri"/>
          <w:color w:val="000000"/>
          <w:sz w:val="24"/>
        </w:rPr>
        <w:t xml:space="preserve">、响应报价应涵盖所有相关费用，包括但不限于保险费、手续费、税费等，采购人不再另行支付其他任何费用</w:t>
      </w:r>
      <w:r>
        <w:rPr>
          <w:rFonts w:ascii="SimSun" w:hAnsi="SimSun" w:eastAsia="SimSun" w:cs="SimSun"/>
          <w:color w:val="000000"/>
          <w:sz w:val="24"/>
        </w:rPr>
        <w:t xml:space="preserve"> </w:t>
      </w:r>
      <w:r>
        <w:rPr>
          <w:rFonts w:ascii="Calibri" w:hAnsi="Calibri" w:eastAsia="Calibri" w:cs="Calibri"/>
          <w:color w:val="000000"/>
          <w:sz w:val="24"/>
        </w:rPr>
        <w:t xml:space="preserve">。</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、本项目评分标准不设定价格报价分，供应商在首次报价为</w:t>
      </w:r>
      <w:r>
        <w:rPr>
          <w:rFonts w:ascii="SimSun" w:hAnsi="SimSun" w:eastAsia="SimSun" w:cs="SimSun"/>
          <w:color w:val="000000"/>
          <w:sz w:val="24"/>
        </w:rPr>
        <w:t xml:space="preserve">175</w:t>
      </w:r>
      <w:r>
        <w:rPr>
          <w:rFonts w:ascii="Calibri" w:hAnsi="Calibri" w:eastAsia="Calibri" w:cs="Calibri"/>
          <w:color w:val="000000"/>
          <w:sz w:val="24"/>
        </w:rPr>
        <w:t xml:space="preserve">万，否则作无效响应。</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rPr>
          <w:rFonts w:ascii="Calibri" w:hAnsi="Calibri" w:eastAsia="Calibri" w:cs="Calibri"/>
          <w:color w:val="000000"/>
          <w:sz w:val="24"/>
        </w:rPr>
        <w:t xml:space="preserve">中标后社区统一统计人数一次性付款。（最终按实际人数结算）。</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numPr>
          <w:ilvl w:val="0"/>
          <w:numId w:val="7"/>
        </w:numPr>
        <w:jc w:val="center"/>
        <w:spacing w:before="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评审方法与评审标</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一、评审方法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采用综合评分法，对满足招标文件全部实质性要求的响应文件按评审因素的量化指标评审总分对供应商进行排序。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评审小组按照评审总分由高到低顺序推荐3名成交候选供应商，并编写评审报告。评审得分相同的，按照最后报价由低到高的顺序推荐。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二、评审标准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4"/>
        <w:gridCol w:w="936"/>
        <w:gridCol w:w="4676"/>
        <w:gridCol w:w="1976"/>
        <w:gridCol w:w="684"/>
      </w:tblGrid>
      <w:tr>
        <w:trPr>
          <w:trHeight w:val="5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273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6"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（1）意外伤害医疗费用以既往该项保险金额为标准，保额每增加500元得3分，此项最多得6分。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最多得6分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7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6"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（2）意外伤害住院津贴：以既往该项保险金额为标准，每增加5元/天得2分，此项最多得4分。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最多得4分</w:t>
            </w:r>
            <w:r/>
          </w:p>
        </w:tc>
        <w:tc>
          <w:tcPr>
            <w:vMerge w:val="continue"/>
            <w:textDirection w:val="lrTb"/>
            <w:noWrap w:val="false"/>
          </w:tcPr>
          <w:p>
            <w:r/>
            <w:r/>
          </w:p>
        </w:tc>
      </w:tr>
      <w:tr>
        <w:trPr>
          <w:trHeight w:val="7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6"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（3）增加实质性有利于被保险人的项目，可额外得分。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增加3项得5分；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增加2项得3分；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增加1项得1分；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(供应商提供承诺书原件加盖公章）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最多得5分</w:t>
            </w:r>
            <w:r/>
          </w:p>
        </w:tc>
        <w:tc>
          <w:tcPr>
            <w:vMerge w:val="continue"/>
            <w:textDirection w:val="lrTb"/>
            <w:noWrap w:val="false"/>
          </w:tcPr>
          <w:p>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项目总体方案：评委根据供应商提供的总体项目需求理解（包括项目背景、项目特点、项目服务的认识和分析等）进行综合评分：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（1）对项目背景、项目特点、项目服务的理解透彻、分析完整的得7分；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（2）对项目背景、项目特点、项目服务的理解分析贴合项目、基本符合项目情况的得4分；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（3）对项目背景、项目特点、项目服务的理解和分析不完整、无法完全满足项目需求的得1分；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承保服务流程：</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评委根据供应商提供的本项目投保流程的方便性、程序的科学性、统计的便捷性等情况进行综合评分：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（1）投保流程的方便性、程序的科学性、统计的便捷性好，得8分；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（2）投保流程的方便性、程序的科学性、统计的便捷性较好，得6分；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（3）投保流程的方便性、程序的科学性、统计的便捷性一般，得4分；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（4）投保流程的方便性、程序的科学性、统计的便捷性较差，得2分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本项最多8分，未提供不得分。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理赔快捷化：</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（1）投标人有自有线上理赔系统，并且对于10000元以下的医疗费用理赔申请，免交纸质理赔资料的得10分；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（2）投标人能够提 供自有线上理赔系统，并且对于5000元以下的医疗费用理赔申请，免交纸质理赔资料的得6分；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（3）投标人能够提供自有线上理赔系统，并且对于2000元以下的医疗费用理赔申请，免交纸质理赔资料的得2分。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（提供自有线上理赔系统的相关证明材料，证明材料必须能反应出关键信息否则不得分，关键信息模糊不清的不得分，投标人提供是第三方系统开展线上理赔的不得分）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投诉处理方案：评委根据供应商提供的投诉处理方案进行综合评分：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（1）投诉处理方案科学合理，措施详细全面，针对性强的得6分；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（2）投诉处理方案合理，措施详细，针对性一般的得4分；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（3）投诉处理方案一般，无针对性的的得2分；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1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特色服务方案：</w:t>
            </w:r>
            <w:r/>
          </w:p>
          <w:p>
            <w:pPr>
              <w:numPr>
                <w:ilvl w:val="0"/>
                <w:numId w:val="8"/>
              </w:numP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活动安排合理、操作性强、宣传效果好、系统能提供关爱老人模式操作界面（提供相应截图），得10分；</w:t>
            </w:r>
            <w:r/>
          </w:p>
          <w:p>
            <w:pPr>
              <w:numPr>
                <w:ilvl w:val="0"/>
                <w:numId w:val="8"/>
              </w:numP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活动安排合理、操作性强、宣传效果较好、系统能提供关爱老人模式操作界面（提供相应截图），得7分；</w:t>
            </w:r>
            <w:r/>
          </w:p>
          <w:p>
            <w:pPr>
              <w:numPr>
                <w:ilvl w:val="0"/>
                <w:numId w:val="8"/>
              </w:numP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活动安排合理、操作性强、宣传效果一般、系统不能提供关爱老人模式操作界面，得4分；</w:t>
            </w:r>
            <w:r/>
          </w:p>
          <w:p>
            <w:pPr>
              <w:numPr>
                <w:ilvl w:val="0"/>
                <w:numId w:val="8"/>
              </w:numP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活动安排合理、操作性强、宣传效果差、系统不能提供关爱老人模式操作界面，得1分。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不提供的不得分。需提供作证材料。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1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履约能力1</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投标人或投标人所属总公司四个季度（2024年 3季度、4 季度，2025 年 1 季度、 2 季度）综合偿付能力充足率均在180%（含）以上得 10 分；综合偿付能力充足率均在 150%（含）以上 得 5 分；综合偿付能力充足率中任一季度低于 150%不得分。（投标文件中提供中国保险行业信息披露系统披露的偿付能力季度报告摘要复印件加盖投标人公章）。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风险综合评级：</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投标人或投标人所属总公司四个季度（2024年3季度、4季度，2025年1季度、2季度）风险综合评级结果：每有一个A级（包括AA及AAA）得2.5分， 一个B级（包括BB、BBB）得1分，其他不得分。本项最高得 10分。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（提供国家金融监督管理总局第二代监管信息系统截屏加盖投标人公章或中国保险行业协会网站披露的季度风险综合评级报告复印件加盖投标人公章，并列表说明）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top"/>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投标人自2022年12月1日以来承保过与本项目类似社会保险项目的成功案例并列明承保行政区域，按年计算（同一投保人投保的案例只算1个有效案例），每个有效案例得3分，最高9分。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（提供合同复印件或协议复印件加盖投标人公章，时间、人数及金额以合同为准，业绩合同必须能反应出相关信息否则不得分，合同关键信息模糊不清的不得分）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69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赔经验：评委根据供应商提供的自2023年1月1日（含）以来，承保的与本项目类似社会保险项目的理赔案例经验，每提供1个得3分，本项最多9分（提供已决赔案卷宗复印件或其它证明资料，未提供不得分，同一案例不得重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其他承诺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投标人承诺：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（1）理赔时效：投标人承诺在收到齐全理赔资料后常规理赔案件保证在10日内完结，特殊或重大案件在30日内完结；（3分）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门服务：投标人承诺关于“保险方案，理赔流程”等服务内容，将安排专职人员定期至街道所辖社区进行培训和服务（每月一次），一旦发生理赔事件，将安排专职人员至被保险人所在社区进行面对面服务；（3分）投标人提供承诺书（格式自拟），不提供不得分。</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17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top"/>
            <w:textDirection w:val="lrTb"/>
            <w:noWrap w:val="false"/>
          </w:tcPr>
          <w:p>
            <w:pPr>
              <w:ind w:left="0" w:right="0" w:firstLine="0"/>
              <w:spacing w:before="0" w:after="0" w:line="519" w:lineRule="atLeast"/>
              <w:tabs>
                <w:tab w:val="left" w:pos="525" w:leader="none"/>
                <w:tab w:val="left" w:pos="840"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440" w:right="0" w:firstLine="0"/>
        <w:spacing w:before="220" w:after="12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440" w:right="0" w:firstLine="0"/>
        <w:jc w:val="center"/>
        <w:spacing w:before="220" w:after="12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南京市政府采购合同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967"/>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 ：</w:t>
      </w:r>
      <w:r>
        <w:rPr>
          <w:rFonts w:ascii="SimSun" w:hAnsi="SimSun" w:eastAsia="SimSun" w:cs="SimSun"/>
          <w:b/>
          <w:color w:val="000000"/>
          <w:sz w:val="28"/>
          <w:u w:val="single"/>
        </w:rPr>
        <w:t xml:space="preserve">                                 </w:t>
      </w:r>
      <w:r/>
    </w:p>
    <w:p>
      <w:pPr>
        <w:ind w:left="2502" w:right="0" w:hanging="2502"/>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项目名称 ：</w:t>
      </w:r>
      <w:r>
        <w:rPr>
          <w:rFonts w:ascii="SimSun" w:hAnsi="SimSun" w:eastAsia="SimSun" w:cs="SimSun"/>
          <w:b/>
          <w:color w:val="000000"/>
          <w:sz w:val="28"/>
          <w:u w:val="single"/>
        </w:rPr>
        <w:t xml:space="preserve">                                </w:t>
      </w:r>
      <w:r/>
    </w:p>
    <w:p>
      <w:pPr>
        <w:ind w:left="0" w:right="0" w:firstLine="967"/>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采购单位 ：</w:t>
      </w:r>
      <w:r>
        <w:rPr>
          <w:rFonts w:ascii="SimSun" w:hAnsi="SimSun" w:eastAsia="SimSun" w:cs="SimSun"/>
          <w:b/>
          <w:color w:val="000000"/>
          <w:sz w:val="28"/>
          <w:u w:val="single"/>
        </w:rPr>
        <w:t xml:space="preserve">                                 </w:t>
      </w:r>
      <w:r/>
    </w:p>
    <w:p>
      <w:pPr>
        <w:ind w:left="0" w:right="0" w:firstLine="967"/>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成交单位 ：</w:t>
      </w:r>
      <w:r>
        <w:rPr>
          <w:rFonts w:ascii="SimSun" w:hAnsi="SimSun" w:eastAsia="SimSun" w:cs="SimSun"/>
          <w:b/>
          <w:color w:val="000000"/>
          <w:sz w:val="28"/>
          <w:u w:val="single"/>
        </w:rPr>
        <w:t xml:space="preserve">                                 </w:t>
      </w:r>
      <w:r/>
    </w:p>
    <w:p>
      <w:pPr>
        <w:ind w:left="0" w:right="0" w:firstLine="967"/>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 ：</w:t>
      </w:r>
      <w:r>
        <w:rPr>
          <w:rFonts w:ascii="SimSun" w:hAnsi="SimSun" w:eastAsia="SimSun" w:cs="SimSun"/>
          <w:b/>
          <w:color w:val="000000"/>
          <w:sz w:val="28"/>
          <w:u w:val="single"/>
        </w:rPr>
        <w:t xml:space="preserve">      2026年月日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1"/>
        <w:gridCol w:w="4251"/>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受托方（乙方）: </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 </w:t>
            </w:r>
            <w:r/>
          </w:p>
        </w:tc>
      </w:tr>
    </w:tbl>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根据《中华人民共和国民法典》等法律法规的规定，甲乙双方按照招标结果签订本合同。</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合同标的及期限</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乙方根据甲方要求提供下列服务：雄州街道为老年人购买2026年意外伤害保险。投保范围：为辖区内年满60周岁（含）以上的户籍老人，需于12月31日前年满60周岁。服务内容详见乙方响应文件等。</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保险服务期限：一年，2025年12月31日至2026年12月30日。</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 </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一、本次项目预算约175万元，实际保险费用为40元/人/年 乘以实际符合参保条件的参保人数。二、甲方根据各社区实际统计上报的老人数来确定实际参保人数。 </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招标文件和有关附件是本合同不可分割的组成部分，与本合同具有同等法律效力。</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1、甲方应向乙方提供下列资料和工作条件：提供与本项目开展工作有关的基础资料。</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2、乙方应保证为甲方提供服务任何一部分时不受第三方提出侵犯其专利权、版权、商标权或其他权利的起诉。一旦出现侵权，乙方应承担全部责任。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乙方对甲方提供的被保险人相关信息、数据、资料承担保密责任，在本合同有效期内及本合同期满后均不得用于其他用途，并不得向第三方泄露。</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乙方提供的服务必须全部达到招标文件各项要求，国家或行业有规定的，还要符合相应规定。</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验收、评估方法</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验收标准：按行业通行标准和乙方投标文件的承诺。</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合同款支付</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付款条件：中标后根据社区统计的人数*单价一次性付款，承诺户籍在雄州街道未统计上的老年人也要全额赔付。</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1、甲方无正当理由拒绝验收或拒付款的，甲方向乙方偿付合同总价的5%违约金。</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2、如乙方不能按期交付服务的，乙方应向甲方支付合同总价5%的违约金。</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3、乙方在承担违约责任后，仍应继续履行合同规定的义务（甲方解除合同的除外）。甲方未能及时追究乙方的任何一项违约责任并不表明甲方放弃追究乙方该项或其他违约责任。</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4、乙方虚假承诺，或经权威部门检测提供的货物和服务不能满足招标文件要求，或是由于乙方的过错造成合同无法继续履行的，应向甲方支付不少于合同总价30%赔偿金。</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合同的变更和终止</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1、除《政府采购法》第50条第二款规定的情况外，本合同一经签订，甲乙双方不得擅自变更、中止或终止合同。</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合同的转让</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争议的解决</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1、因履行本合同引起的或与本合同有关的争议，甲、乙双方应首先通过友好协商解决，如果协商不能解决争议，则采取以下第（2）种方式解决争议：</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2、在仲裁期间，本合同应继续履行。</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诚实信用</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乙方应诚实信用，严格按照招标文件要求和承诺履行合同，不向甲方进行商业贿赂或者提供不正当利益。</w:t>
      </w:r>
      <w:r/>
    </w:p>
    <w:p>
      <w:pPr>
        <w:ind w:left="0" w:right="0" w:firstLine="56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合同生效及其他</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1、本合同自双方签字盖章之日起生效。</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2、本合同一式肆份，甲执贰份，乙执贰份，具有同等效力。</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以下无正文。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乙方（受托方）：（盖章）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r>
    </w:tbl>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44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致：南京市六合区人民政府雄州街道办事处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（项目名称）（项目编号）</w:t>
      </w:r>
      <w:r>
        <w:rPr>
          <w:rFonts w:ascii="SimSun" w:hAnsi="SimSun" w:eastAsia="SimSun" w:cs="SimSun"/>
          <w:color w:val="000000"/>
          <w:sz w:val="22"/>
        </w:rPr>
        <w:t xml:space="preserve">招标公告，正式授权下述签字人</w:t>
      </w:r>
      <w:r>
        <w:rPr>
          <w:rFonts w:ascii="SimSun" w:hAnsi="SimSun" w:eastAsia="SimSun" w:cs="SimSun"/>
          <w:color w:val="000000"/>
          <w:sz w:val="22"/>
          <w:u w:val="single"/>
        </w:rPr>
        <w:t xml:space="preserve">(姓名和职务)</w:t>
      </w:r>
      <w:r>
        <w:rPr>
          <w:rFonts w:ascii="SimSun" w:hAnsi="SimSun" w:eastAsia="SimSun" w:cs="SimSun"/>
          <w:color w:val="000000"/>
          <w:sz w:val="22"/>
        </w:rPr>
        <w:t xml:space="preserve">代表投标人</w:t>
      </w:r>
      <w:r>
        <w:rPr>
          <w:rFonts w:ascii="SimSun" w:hAnsi="SimSun" w:eastAsia="SimSun" w:cs="SimSun"/>
          <w:color w:val="000000"/>
          <w:sz w:val="22"/>
          <w:u w:val="single"/>
        </w:rPr>
        <w:t xml:space="preserve">（投标人名称）</w:t>
      </w:r>
      <w:r>
        <w:rPr>
          <w:rFonts w:ascii="SimSun" w:hAnsi="SimSun" w:eastAsia="SimSun" w:cs="SimSun"/>
          <w:color w:val="000000"/>
          <w:sz w:val="22"/>
        </w:rPr>
        <w:t xml:space="preserve">，提交投标文件。</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1.按招标文件规定的各项要求，向买方提供所需货物（包含与货物相关的服务）。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2.我们完全理解贵方不一定将合同授予最低报价的投标人。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3.我们已详细审核全部招标文件及其有效补充文件，我们知道必须放弃提出含糊不清或误解问题的权利。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6.一旦我方中标，我方将根据招标文件的规定，严格履行合同的责任和义务，并保证在招标文件规定的时间完成项目，交付买方验收、使用。</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投标人名称：（加盖电子公章）</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二、法人授权书</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ind w:left="0" w:right="0" w:firstLine="480"/>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b/>
          <w:color w:val="000000"/>
          <w:sz w:val="22"/>
        </w:rPr>
        <w:t xml:space="preserve">注：后附被授权人身份证电子件</w:t>
      </w:r>
      <w:r>
        <w:rPr>
          <w:rFonts w:ascii="SimSun" w:hAnsi="SimSun" w:eastAsia="SimSun" w:cs="SimSun"/>
          <w:color w:val="000000"/>
          <w:sz w:val="22"/>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三、开标一览表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                             </w:t>
            </w:r>
            <w:r/>
          </w:p>
        </w:tc>
      </w:tr>
    </w:tbl>
    <w:p>
      <w:pPr>
        <w:ind w:left="0" w:right="0" w:firstLine="0"/>
        <w:spacing w:before="100" w:after="10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分项报价表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报价（元/人/年）：</w:t>
            </w:r>
            <w:r>
              <w:rPr>
                <w:rFonts w:ascii="SimSun" w:hAnsi="SimSun" w:eastAsia="SimSun" w:cs="SimSun"/>
                <w:color w:val="000000"/>
                <w:sz w:val="24"/>
                <w:u w:val="single"/>
              </w:rPr>
              <w:t xml:space="preserve"> 40 </w:t>
            </w:r>
            <w:r>
              <w:rPr>
                <w:rFonts w:ascii="SimSun" w:hAnsi="SimSun" w:eastAsia="SimSun" w:cs="SimSun"/>
                <w:color w:val="000000"/>
                <w:sz w:val="24"/>
              </w:rPr>
              <w:t xml:space="preserve">（大写：</w:t>
            </w:r>
            <w:r>
              <w:rPr>
                <w:rFonts w:ascii="SimSun" w:hAnsi="SimSun" w:eastAsia="SimSun" w:cs="SimSun"/>
                <w:color w:val="000000"/>
                <w:sz w:val="24"/>
                <w:u w:val="single"/>
              </w:rPr>
              <w:t xml:space="preserve">肆拾元整</w:t>
            </w:r>
            <w:r>
              <w:rPr>
                <w:rFonts w:ascii="SimSun" w:hAnsi="SimSun" w:eastAsia="SimSun" w:cs="SimSun"/>
                <w:color w:val="000000"/>
                <w:sz w:val="24"/>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四、资格证明文件</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资格证明文件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1、具有独立承担民事责任的能力（提供法人或者其他组织的营业执照等证明材料，自然人的身份证明）；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经审计的财务报告或银行出具的资信证明或其他会计报表等，成立不满一年不需提供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3、有依法缴纳税收和社会保障资金的良好记录（提供参加本次政府采购活动前六个月内（至少一个月）依法缴纳税收和社会保障资金的相关材料或提供南京市政府采购投标人信用记录表暨信用承诺书）；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4、具有履行合同所必需的设备和专业技术能力（根据项目需求提供履行合同所必需的设备和专业技术能力的证明材料或相关加盖公章的承诺函或提供南京市政府采购投标人信用记录表暨信用承诺书）；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未被“信用中国”网站（www.creditchina.gov.cn）列入失信被执行人、重大税收违法案件当事人名单、政府采购严重失信行为记录名单（提供证明材料或提供南京市政府采购供应商信用记录表暨信用承诺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7、本项目的特定资格要求：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（1）投标人为经国家保险监督管理机构批准设立且持有《中华人民共和国经营保险业务许可证》的具有经营意外伤害、健康保险业务资质的保险公司。</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（2）同一保险总公司仅能有一家分支机构参与本项目投标。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（3）投标人符合国家金融监督管理总局及其江苏监管局规定的其他条件。</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2-6投标人商可以在投标文件中一次性提交，也可以在投标文件中提供《南京市政府采购供应商信用记录表暨信用承诺书》，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投标人涉及以下情形的，不适用信用承诺：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（1）投标人被列入严重失信主体名单；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投标人对信用承诺内容的真实性、合法性、有效性负责。如作出虚假信用承诺，视同为“提供虚假材料谋取中标、成交”的违法行为。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五、商务条款偏离表格式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268"/>
        <w:gridCol w:w="2835"/>
        <w:gridCol w:w="29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正偏离、无偏离或负偏离</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备注：如果行数不够，请自行增加。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六、技术条款偏离表格式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9"/>
        <w:gridCol w:w="1755"/>
        <w:gridCol w:w="2524"/>
        <w:gridCol w:w="3211"/>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备注：如果行数不够，请自行增加。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七、南京市政府采购投标人信用记录表暨信用承诺书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八、投标需要的其他证明文件及材料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附件一、价格折扣文件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w:t>
      </w:r>
      <w:r/>
    </w:p>
    <w:p>
      <w:pPr>
        <w:ind w:left="0" w:right="0" w:firstLine="0"/>
        <w:jc w:val="center"/>
        <w:spacing w:before="0" w:after="0" w:line="5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采购活动，提供的货物全部由符合政策要求的中小企业制造。相关企业（含联合体中的小微企业、签订分包意向协议的小微企业）的具体情况如下：</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批发业</w:t>
      </w:r>
      <w:r>
        <w:rPr>
          <w:rFonts w:ascii="SimSun" w:hAnsi="SimSun" w:eastAsia="SimSun" w:cs="SimSun"/>
          <w:color w:val="000000"/>
          <w:sz w:val="24"/>
        </w:rPr>
        <w:t xml:space="preserve">（招标文件中明确的所属行业）；制造商为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3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2、残疾人福利性单位声明函（若有）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3、属于监狱企业的证明文件（若有）</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44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附件二、声明格式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1、无重大违法记录声明</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无重大违法记录声明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南京市六合区人民政府雄州街道办事处：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郑重声明：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声明人：（加盖电子公章）</w:t>
      </w:r>
      <w:r/>
    </w:p>
    <w:p>
      <w:pPr>
        <w:ind w:left="440" w:right="0" w:firstLine="6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2、具备履行合同所必需的设备和专业技术能力的声明及证明材料</w:t>
      </w:r>
      <w:r/>
    </w:p>
    <w:p>
      <w:pPr>
        <w:ind w:left="0" w:right="0" w:firstLine="0"/>
        <w:jc w:val="center"/>
        <w:spacing w:before="0" w:after="156"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8"/>
        </w:rPr>
        <w:t xml:space="preserve">具备履行合同所必需的设备和专业技术能力的声明及证明材料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南京市六合区人民政府雄州街道办事处：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ab/>
        <w:t xml:space="preserve">（投标人名称）</w:t>
      </w:r>
      <w:r>
        <w:rPr>
          <w:rFonts w:ascii="SimSun" w:hAnsi="SimSun" w:eastAsia="SimSun" w:cs="SimSun"/>
          <w:color w:val="000000"/>
          <w:sz w:val="24"/>
        </w:rPr>
        <w:t xml:space="preserve">郑重声明：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我公司具备履行本项采购合同所必需的设备和专业技术能力，为履行本项采购合同我单位具备如下主要设备和主要专业技术能力：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tab/>
        <w:t xml:space="preserve">。( 若有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tab/>
        <w:t xml:space="preserve">。( 若有 )</w:t>
      </w:r>
      <w:r/>
    </w:p>
    <w:p>
      <w:pPr>
        <w:ind w:left="440" w:right="0" w:firstLine="2880"/>
        <w:spacing w:before="165"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声明人：（加盖电子公章）</w:t>
      </w:r>
      <w:r/>
    </w:p>
    <w:p>
      <w:pPr>
        <w:ind w:left="440" w:right="0" w:firstLine="5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tab/>
        <w:t xml:space="preserve">年</w:t>
        <w:tab/>
        <w:t xml:space="preserve">月</w:t>
        <w:tab/>
        <w:t xml:space="preserve">日</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仿宋">
    <w:panose1 w:val="02010609060101010101"/>
  </w:font>
  <w:font w:name="KNLe">
    <w:panose1 w:val="020B0503020202020204"/>
  </w:font>
  <w:font w:name="Courier New">
    <w:panose1 w:val="02070309020205020404"/>
  </w:font>
  <w:font w:name="Times New Roman">
    <w:panose1 w:val="02020603050405020304"/>
  </w:font>
  <w:font w:name="Calibri">
    <w:panose1 w:val="020F0502020204030204"/>
  </w:font>
  <w:font w:name="Arial">
    <w:panose1 w:val="020B0604020202020204"/>
  </w:font>
  <w:font w:name="SimSun">
    <w:panose1 w:val="02010600030101010101"/>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54"/>
          <w:jc w:val="right"/>
        </w:pPr>
        <w:r>
          <w:fldChar w:fldCharType="begin"/>
        </w:r>
        <w:r>
          <w:instrText xml:space="preserve">PAGE   \* MERGEFORMAT</w:instrText>
        </w:r>
        <w:r>
          <w:fldChar w:fldCharType="separate"/>
        </w:r>
        <w:r>
          <w:rPr>
            <w:lang w:val="zh-CN"/>
          </w:rPr>
          <w:t xml:space="preserve">41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uiPriority w:val="1"/>
    <w:qFormat/>
    <w:pPr>
      <w:widowControl w:val="off"/>
    </w:pPr>
    <w:rPr>
      <w:rFonts w:ascii="宋体" w:hAnsi="宋体" w:eastAsia="宋体" w:cs="宋体"/>
      <w:sz w:val="22"/>
      <w:szCs w:val="22"/>
      <w:lang w:val="zh-CN" w:eastAsia="zh-CN" w:bidi="zh-CN"/>
    </w:rPr>
  </w:style>
  <w:style w:type="paragraph" w:styleId="627">
    <w:name w:val="Heading 1"/>
    <w:basedOn w:val="626"/>
    <w:next w:val="626"/>
    <w:link w:val="810"/>
    <w:uiPriority w:val="0"/>
    <w:qFormat/>
    <w:pPr>
      <w:keepLines/>
      <w:keepNext/>
      <w:spacing w:before="340" w:after="330" w:line="578" w:lineRule="auto"/>
      <w:outlineLvl w:val="0"/>
    </w:pPr>
    <w:rPr>
      <w:b/>
      <w:bCs/>
      <w:sz w:val="44"/>
      <w:szCs w:val="44"/>
    </w:rPr>
  </w:style>
  <w:style w:type="paragraph" w:styleId="628">
    <w:name w:val="Heading 2"/>
    <w:basedOn w:val="626"/>
    <w:next w:val="626"/>
    <w:link w:val="811"/>
    <w:uiPriority w:val="0"/>
    <w:qFormat/>
    <w:pPr>
      <w:ind w:left="1436" w:right="1443"/>
      <w:jc w:val="center"/>
      <w:spacing w:before="27"/>
      <w:outlineLvl w:val="1"/>
    </w:pPr>
    <w:rPr>
      <w:sz w:val="32"/>
      <w:szCs w:val="32"/>
    </w:rPr>
  </w:style>
  <w:style w:type="paragraph" w:styleId="629">
    <w:name w:val="Heading 3"/>
    <w:basedOn w:val="626"/>
    <w:next w:val="626"/>
    <w:link w:val="812"/>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813"/>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31">
    <w:name w:val="Heading 5"/>
    <w:basedOn w:val="626"/>
    <w:next w:val="626"/>
    <w:link w:val="818"/>
    <w:uiPriority w:val="9"/>
    <w:semiHidden/>
    <w:unhideWhenUsed/>
    <w:qFormat/>
    <w:pPr>
      <w:keepLines/>
      <w:keepNext/>
      <w:spacing w:before="280" w:after="290" w:line="376" w:lineRule="auto"/>
      <w:outlineLvl w:val="4"/>
    </w:pPr>
    <w:rPr>
      <w:b/>
      <w:bCs/>
      <w:sz w:val="28"/>
      <w:szCs w:val="28"/>
    </w:rPr>
  </w:style>
  <w:style w:type="paragraph" w:styleId="632">
    <w:name w:val="Heading 6"/>
    <w:basedOn w:val="626"/>
    <w:next w:val="626"/>
    <w:link w:val="814"/>
    <w:uiPriority w:val="9"/>
    <w:unhideWhenUsed/>
    <w:qFormat/>
    <w:pPr>
      <w:keepLines/>
      <w:keepNext/>
      <w:spacing w:before="320" w:after="200"/>
      <w:outlineLvl w:val="5"/>
    </w:pPr>
    <w:rPr>
      <w:rFonts w:ascii="Arial" w:hAnsi="Arial" w:eastAsia="Arial" w:cs="Arial"/>
      <w:b/>
      <w:bCs/>
    </w:rPr>
  </w:style>
  <w:style w:type="paragraph" w:styleId="633">
    <w:name w:val="Heading 7"/>
    <w:basedOn w:val="626"/>
    <w:next w:val="626"/>
    <w:link w:val="815"/>
    <w:uiPriority w:val="9"/>
    <w:unhideWhenUsed/>
    <w:qFormat/>
    <w:pPr>
      <w:keepLines/>
      <w:keepNext/>
      <w:spacing w:before="320" w:after="200"/>
      <w:outlineLvl w:val="6"/>
    </w:pPr>
    <w:rPr>
      <w:rFonts w:ascii="Arial" w:hAnsi="Arial" w:eastAsia="Arial" w:cs="Arial"/>
      <w:b/>
      <w:bCs/>
      <w:i/>
      <w:iCs/>
    </w:rPr>
  </w:style>
  <w:style w:type="paragraph" w:styleId="634">
    <w:name w:val="Heading 8"/>
    <w:basedOn w:val="626"/>
    <w:next w:val="626"/>
    <w:link w:val="816"/>
    <w:uiPriority w:val="9"/>
    <w:unhideWhenUsed/>
    <w:qFormat/>
    <w:pPr>
      <w:keepLines/>
      <w:keepNext/>
      <w:spacing w:before="320" w:after="200"/>
      <w:outlineLvl w:val="7"/>
    </w:pPr>
    <w:rPr>
      <w:rFonts w:ascii="Arial" w:hAnsi="Arial" w:eastAsia="Arial" w:cs="Arial"/>
      <w:i/>
      <w:iCs/>
    </w:rPr>
  </w:style>
  <w:style w:type="paragraph" w:styleId="635">
    <w:name w:val="Heading 9"/>
    <w:basedOn w:val="626"/>
    <w:next w:val="626"/>
    <w:link w:val="817"/>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spacing w:after="57"/>
    </w:pPr>
  </w:style>
  <w:style w:type="paragraph" w:styleId="639">
    <w:name w:val="Normal Indent"/>
    <w:basedOn w:val="626"/>
    <w:link w:val="819"/>
    <w:uiPriority w:val="0"/>
    <w:qFormat/>
    <w:pPr>
      <w:ind w:firstLine="420"/>
    </w:pPr>
  </w:style>
  <w:style w:type="paragraph" w:styleId="640">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Body Text"/>
    <w:basedOn w:val="642"/>
    <w:link w:val="820"/>
    <w:uiPriority w:val="1"/>
    <w:qFormat/>
    <w:pPr>
      <w:ind w:left="0"/>
    </w:pPr>
    <w:rPr>
      <w:b w:val="0"/>
      <w:sz w:val="24"/>
    </w:rPr>
  </w:style>
  <w:style w:type="paragraph" w:styleId="642"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paragraph" w:styleId="643">
    <w:name w:val="Body Text Indent"/>
    <w:basedOn w:val="626"/>
    <w:link w:val="809"/>
    <w:uiPriority w:val="99"/>
    <w:unhideWhenUsed/>
    <w:qFormat/>
    <w:pPr>
      <w:jc w:val="center"/>
      <w:spacing w:line="360" w:lineRule="auto"/>
    </w:pPr>
    <w:rPr>
      <w:sz w:val="48"/>
    </w:rPr>
  </w:style>
  <w:style w:type="paragraph" w:styleId="644">
    <w:name w:val="Block Text"/>
    <w:basedOn w:val="626"/>
    <w:uiPriority w:val="0"/>
    <w:qFormat/>
    <w:pPr>
      <w:ind w:left="1440" w:right="1440"/>
      <w:spacing w:after="120"/>
    </w:pPr>
    <w:rPr>
      <w:rFonts w:hAnsi="Calibri" w:cs="Times New Roman"/>
      <w:sz w:val="21"/>
      <w:lang w:val="en-US" w:bidi="ar-SA"/>
    </w:rPr>
  </w:style>
  <w:style w:type="paragraph" w:styleId="645">
    <w:name w:val="index 4"/>
    <w:basedOn w:val="626"/>
    <w:next w:val="626"/>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46">
    <w:name w:val="toc 5"/>
    <w:basedOn w:val="626"/>
    <w:next w:val="626"/>
    <w:uiPriority w:val="39"/>
    <w:unhideWhenUsed/>
    <w:qFormat/>
    <w:pPr>
      <w:ind w:left="1134"/>
      <w:spacing w:after="57"/>
    </w:pPr>
  </w:style>
  <w:style w:type="paragraph" w:styleId="647">
    <w:name w:val="toc 3"/>
    <w:basedOn w:val="626"/>
    <w:next w:val="626"/>
    <w:uiPriority w:val="39"/>
    <w:unhideWhenUsed/>
    <w:qFormat/>
    <w:pPr>
      <w:ind w:left="567"/>
      <w:spacing w:after="57"/>
    </w:pPr>
  </w:style>
  <w:style w:type="paragraph" w:styleId="648">
    <w:name w:val="Plain Text"/>
    <w:basedOn w:val="626"/>
    <w:link w:val="821"/>
    <w:uiPriority w:val="0"/>
    <w:qFormat/>
    <w:pPr>
      <w:jc w:val="both"/>
    </w:pPr>
    <w:rPr>
      <w:rFonts w:hAnsi="Courier New" w:cs="Courier New"/>
      <w:sz w:val="21"/>
      <w:szCs w:val="21"/>
      <w:lang w:val="en-US" w:bidi="ar-SA"/>
    </w:rPr>
  </w:style>
  <w:style w:type="paragraph" w:styleId="649">
    <w:name w:val="toc 8"/>
    <w:basedOn w:val="626"/>
    <w:next w:val="626"/>
    <w:uiPriority w:val="39"/>
    <w:unhideWhenUsed/>
    <w:qFormat/>
    <w:pPr>
      <w:ind w:left="1984"/>
      <w:spacing w:after="57"/>
    </w:pPr>
  </w:style>
  <w:style w:type="paragraph" w:styleId="650">
    <w:name w:val="Date"/>
    <w:basedOn w:val="626"/>
    <w:next w:val="626"/>
    <w:link w:val="822"/>
    <w:uiPriority w:val="99"/>
    <w:semiHidden/>
    <w:unhideWhenUsed/>
    <w:qFormat/>
    <w:pPr>
      <w:ind w:left="100"/>
    </w:pPr>
  </w:style>
  <w:style w:type="paragraph" w:styleId="651">
    <w:name w:val="Body Text Indent 2"/>
    <w:basedOn w:val="626"/>
    <w:uiPriority w:val="0"/>
    <w:unhideWhenUsed/>
    <w:qFormat/>
    <w:pPr>
      <w:ind w:left="420"/>
      <w:spacing w:after="120" w:line="480" w:lineRule="auto"/>
    </w:pPr>
  </w:style>
  <w:style w:type="paragraph" w:styleId="652">
    <w:name w:val="endnote text"/>
    <w:basedOn w:val="626"/>
    <w:link w:val="823"/>
    <w:uiPriority w:val="99"/>
    <w:semiHidden/>
    <w:unhideWhenUsed/>
    <w:qFormat/>
    <w:rPr>
      <w:sz w:val="20"/>
    </w:rPr>
  </w:style>
  <w:style w:type="paragraph" w:styleId="653">
    <w:name w:val="Balloon Text"/>
    <w:basedOn w:val="626"/>
    <w:link w:val="824"/>
    <w:uiPriority w:val="0"/>
    <w:semiHidden/>
    <w:unhideWhenUsed/>
    <w:qFormat/>
    <w:rPr>
      <w:sz w:val="18"/>
      <w:szCs w:val="18"/>
    </w:rPr>
  </w:style>
  <w:style w:type="paragraph" w:styleId="654">
    <w:name w:val="Footer"/>
    <w:basedOn w:val="626"/>
    <w:link w:val="825"/>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55">
    <w:name w:val="envelope return"/>
    <w:basedOn w:val="626"/>
    <w:uiPriority w:val="0"/>
    <w:unhideWhenUsed/>
    <w:qFormat/>
    <w:rPr>
      <w:rFonts w:ascii="Arial" w:hAnsi="Arial" w:cs="Times New Roman"/>
      <w:szCs w:val="20"/>
    </w:rPr>
  </w:style>
  <w:style w:type="paragraph" w:styleId="656">
    <w:name w:val="Header"/>
    <w:basedOn w:val="626"/>
    <w:link w:val="8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57">
    <w:name w:val="toc 1"/>
    <w:basedOn w:val="626"/>
    <w:next w:val="626"/>
    <w:uiPriority w:val="39"/>
    <w:qFormat/>
    <w:pPr>
      <w:ind w:left="483"/>
      <w:spacing w:before="222"/>
    </w:pPr>
    <w:rPr>
      <w:sz w:val="32"/>
      <w:szCs w:val="32"/>
    </w:rPr>
  </w:style>
  <w:style w:type="paragraph" w:styleId="658">
    <w:name w:val="toc 4"/>
    <w:basedOn w:val="626"/>
    <w:next w:val="626"/>
    <w:uiPriority w:val="39"/>
    <w:unhideWhenUsed/>
    <w:qFormat/>
    <w:pPr>
      <w:ind w:left="850"/>
      <w:spacing w:after="57"/>
    </w:pPr>
  </w:style>
  <w:style w:type="paragraph" w:styleId="659">
    <w:name w:val="Subtitle"/>
    <w:basedOn w:val="626"/>
    <w:next w:val="626"/>
    <w:link w:val="827"/>
    <w:uiPriority w:val="11"/>
    <w:qFormat/>
    <w:pPr>
      <w:spacing w:before="200" w:after="200"/>
    </w:pPr>
    <w:rPr>
      <w:sz w:val="24"/>
      <w:szCs w:val="24"/>
    </w:rPr>
  </w:style>
  <w:style w:type="paragraph" w:styleId="660">
    <w:name w:val="footnote text"/>
    <w:basedOn w:val="626"/>
    <w:link w:val="828"/>
    <w:uiPriority w:val="99"/>
    <w:semiHidden/>
    <w:unhideWhenUsed/>
    <w:qFormat/>
    <w:pPr>
      <w:spacing w:after="40"/>
    </w:pPr>
    <w:rPr>
      <w:sz w:val="18"/>
    </w:rPr>
  </w:style>
  <w:style w:type="paragraph" w:styleId="661">
    <w:name w:val="toc 6"/>
    <w:basedOn w:val="626"/>
    <w:next w:val="626"/>
    <w:uiPriority w:val="39"/>
    <w:unhideWhenUsed/>
    <w:qFormat/>
    <w:pPr>
      <w:ind w:left="1417"/>
      <w:spacing w:after="57"/>
    </w:pPr>
  </w:style>
  <w:style w:type="paragraph" w:styleId="662">
    <w:name w:val="table of figures"/>
    <w:basedOn w:val="626"/>
    <w:next w:val="626"/>
    <w:uiPriority w:val="99"/>
    <w:unhideWhenUsed/>
    <w:qFormat/>
  </w:style>
  <w:style w:type="paragraph" w:styleId="663">
    <w:name w:val="toc 2"/>
    <w:basedOn w:val="626"/>
    <w:next w:val="626"/>
    <w:uiPriority w:val="39"/>
    <w:unhideWhenUsed/>
    <w:qFormat/>
    <w:pPr>
      <w:ind w:left="283"/>
      <w:spacing w:after="57"/>
    </w:pPr>
  </w:style>
  <w:style w:type="paragraph" w:styleId="664">
    <w:name w:val="toc 9"/>
    <w:basedOn w:val="626"/>
    <w:next w:val="626"/>
    <w:uiPriority w:val="39"/>
    <w:unhideWhenUsed/>
    <w:qFormat/>
    <w:pPr>
      <w:ind w:left="2268"/>
      <w:spacing w:after="57"/>
    </w:pPr>
  </w:style>
  <w:style w:type="paragraph" w:styleId="665">
    <w:name w:val="Normal (Web)"/>
    <w:basedOn w:val="626"/>
    <w:uiPriority w:val="99"/>
    <w:qFormat/>
    <w:pPr>
      <w:spacing w:before="100" w:beforeAutospacing="1" w:after="100" w:afterAutospacing="1"/>
      <w:widowControl/>
    </w:pPr>
    <w:rPr>
      <w:sz w:val="24"/>
      <w:szCs w:val="24"/>
      <w:lang w:val="en-US" w:bidi="ar-SA"/>
    </w:rPr>
  </w:style>
  <w:style w:type="paragraph" w:styleId="666">
    <w:name w:val="Title"/>
    <w:basedOn w:val="626"/>
    <w:next w:val="626"/>
    <w:link w:val="829"/>
    <w:uiPriority w:val="10"/>
    <w:qFormat/>
    <w:pPr>
      <w:contextualSpacing/>
      <w:spacing w:before="300" w:after="200"/>
    </w:pPr>
    <w:rPr>
      <w:sz w:val="48"/>
      <w:szCs w:val="48"/>
    </w:rPr>
  </w:style>
  <w:style w:type="paragraph" w:styleId="667">
    <w:name w:val="Body Text First Indent 2"/>
    <w:basedOn w:val="643"/>
    <w:link w:val="830"/>
    <w:uiPriority w:val="99"/>
    <w:semiHidden/>
    <w:unhideWhenUsed/>
    <w:qFormat/>
    <w:pPr>
      <w:ind w:left="420" w:firstLine="420"/>
      <w:jc w:val="left"/>
      <w:spacing w:after="120" w:line="240" w:lineRule="auto"/>
    </w:pPr>
    <w:rPr>
      <w:sz w:val="22"/>
    </w:rPr>
  </w:style>
  <w:style w:type="table" w:styleId="668">
    <w:name w:val="Table Grid"/>
    <w:basedOn w:val="63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endnote reference"/>
    <w:basedOn w:val="636"/>
    <w:uiPriority w:val="99"/>
    <w:semiHidden/>
    <w:unhideWhenUsed/>
    <w:qFormat/>
    <w:rPr>
      <w:vertAlign w:val="superscript"/>
    </w:rPr>
  </w:style>
  <w:style w:type="character" w:styleId="670">
    <w:name w:val="Hyperlink"/>
    <w:basedOn w:val="636"/>
    <w:uiPriority w:val="99"/>
    <w:unhideWhenUsed/>
    <w:qFormat/>
    <w:rPr>
      <w:color w:val="0000ff" w:themeColor="hyperlink"/>
      <w:u w:val="single"/>
      <w14:textFill>
        <w14:solidFill>
          <w14:schemeClr w14:val="hlink"/>
        </w14:solidFill>
      </w14:textFill>
    </w:rPr>
  </w:style>
  <w:style w:type="character" w:styleId="671">
    <w:name w:val="footnote reference"/>
    <w:basedOn w:val="636"/>
    <w:uiPriority w:val="99"/>
    <w:unhideWhenUsed/>
    <w:qFormat/>
    <w:rPr>
      <w:vertAlign w:val="superscript"/>
    </w:rPr>
  </w:style>
  <w:style w:type="paragraph" w:styleId="672" w:customStyle="1">
    <w:name w:val="正文文本1"/>
    <w:basedOn w:val="626"/>
    <w:next w:val="642"/>
    <w:uiPriority w:val="0"/>
    <w:qFormat/>
    <w:pPr>
      <w:ind w:firstLine="400"/>
      <w:spacing w:line="463" w:lineRule="auto"/>
    </w:pPr>
    <w:rPr>
      <w:rFonts w:ascii="宋体" w:hAnsi="宋体" w:eastAsia="宋体" w:cs="宋体"/>
      <w:sz w:val="40"/>
      <w:szCs w:val="40"/>
      <w:lang w:val="zh-CN" w:eastAsia="zh-CN" w:bidi="zh-CN"/>
    </w:rPr>
  </w:style>
  <w:style w:type="character" w:styleId="673" w:customStyle="1">
    <w:name w:val="Heading 3 Char"/>
    <w:basedOn w:val="636"/>
    <w:uiPriority w:val="9"/>
    <w:qFormat/>
    <w:rPr>
      <w:rFonts w:ascii="Arial" w:hAnsi="Arial" w:eastAsia="Arial" w:cs="Arial"/>
      <w:sz w:val="30"/>
      <w:szCs w:val="30"/>
    </w:rPr>
  </w:style>
  <w:style w:type="character" w:styleId="674" w:customStyle="1">
    <w:name w:val="Heading 6 Char"/>
    <w:basedOn w:val="636"/>
    <w:uiPriority w:val="9"/>
    <w:qFormat/>
    <w:rPr>
      <w:rFonts w:ascii="Arial" w:hAnsi="Arial" w:eastAsia="Arial" w:cs="Arial"/>
      <w:b/>
      <w:bCs/>
      <w:sz w:val="22"/>
      <w:szCs w:val="22"/>
    </w:rPr>
  </w:style>
  <w:style w:type="character" w:styleId="675" w:customStyle="1">
    <w:name w:val="Heading 7 Char"/>
    <w:basedOn w:val="636"/>
    <w:uiPriority w:val="9"/>
    <w:qFormat/>
    <w:rPr>
      <w:rFonts w:ascii="Arial" w:hAnsi="Arial" w:eastAsia="Arial" w:cs="Arial"/>
      <w:b/>
      <w:bCs/>
      <w:i/>
      <w:iCs/>
      <w:sz w:val="22"/>
      <w:szCs w:val="22"/>
    </w:rPr>
  </w:style>
  <w:style w:type="character" w:styleId="676" w:customStyle="1">
    <w:name w:val="Heading 8 Char"/>
    <w:basedOn w:val="636"/>
    <w:uiPriority w:val="9"/>
    <w:qFormat/>
    <w:rPr>
      <w:rFonts w:ascii="Arial" w:hAnsi="Arial" w:eastAsia="Arial" w:cs="Arial"/>
      <w:i/>
      <w:iCs/>
      <w:sz w:val="22"/>
      <w:szCs w:val="22"/>
    </w:rPr>
  </w:style>
  <w:style w:type="character" w:styleId="677" w:customStyle="1">
    <w:name w:val="Heading 9 Char"/>
    <w:basedOn w:val="636"/>
    <w:uiPriority w:val="9"/>
    <w:qFormat/>
    <w:rPr>
      <w:rFonts w:ascii="Arial" w:hAnsi="Arial" w:eastAsia="Arial" w:cs="Arial"/>
      <w:i/>
      <w:iCs/>
      <w:sz w:val="21"/>
      <w:szCs w:val="21"/>
    </w:rPr>
  </w:style>
  <w:style w:type="character" w:styleId="678" w:customStyle="1">
    <w:name w:val="Title Char"/>
    <w:basedOn w:val="636"/>
    <w:uiPriority w:val="10"/>
    <w:qFormat/>
    <w:rPr>
      <w:sz w:val="48"/>
      <w:szCs w:val="48"/>
    </w:rPr>
  </w:style>
  <w:style w:type="character" w:styleId="679" w:customStyle="1">
    <w:name w:val="Subtitle Char"/>
    <w:basedOn w:val="636"/>
    <w:uiPriority w:val="11"/>
    <w:qFormat/>
    <w:rPr>
      <w:sz w:val="24"/>
      <w:szCs w:val="24"/>
    </w:rPr>
  </w:style>
  <w:style w:type="character" w:styleId="680" w:customStyle="1">
    <w:name w:val="Intense Quote Char"/>
    <w:uiPriority w:val="30"/>
    <w:qFormat/>
    <w:rPr>
      <w:i/>
    </w:rPr>
  </w:style>
  <w:style w:type="table" w:styleId="681" w:customStyle="1">
    <w:name w:val="Table Grid Light"/>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2" w:customStyle="1">
    <w:name w:val="Plain Table 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2"/>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3"/>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Plain Table 4"/>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Plain Table 5"/>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Grid Table 1 Light"/>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2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6" w:customStyle="1">
    <w:name w:val="Grid Table 2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7" w:customStyle="1">
    <w:name w:val="Grid Table 2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8" w:customStyle="1">
    <w:name w:val="Grid Table 2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9" w:customStyle="1">
    <w:name w:val="Grid Table 2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0" w:customStyle="1">
    <w:name w:val="Grid Table 2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1" w:customStyle="1">
    <w:name w:val="Grid Table 3"/>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4"/>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customStyle="1">
    <w:name w:val="Grid Table 4 - Accent 1"/>
    <w:basedOn w:val="6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0" w:customStyle="1">
    <w:name w:val="Grid Table 4 - Accent 2"/>
    <w:basedOn w:val="6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1" w:customStyle="1">
    <w:name w:val="Grid Table 4 - Accent 3"/>
    <w:basedOn w:val="6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2" w:customStyle="1">
    <w:name w:val="Grid Table 4 - Accent 4"/>
    <w:basedOn w:val="6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3" w:customStyle="1">
    <w:name w:val="Grid Table 4 - Accent 5"/>
    <w:basedOn w:val="6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4" w:customStyle="1">
    <w:name w:val="Grid Table 4 - Accent 6"/>
    <w:basedOn w:val="6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5" w:customStyle="1">
    <w:name w:val="Grid Table 5 Dark"/>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customStyle="1">
    <w:name w:val="Grid Table 5 Dark- Accent 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7" w:customStyle="1">
    <w:name w:val="Grid Table 5 Dark - Accent 2"/>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8" w:customStyle="1">
    <w:name w:val="Grid Table 5 Dark - Accent 3"/>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9" w:customStyle="1">
    <w:name w:val="Grid Table 5 Dark- Accent 4"/>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0" w:customStyle="1">
    <w:name w:val="Grid Table 5 Dark - Accent 5"/>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1" w:customStyle="1">
    <w:name w:val="Grid Table 5 Dark - Accent 6"/>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2" w:customStyle="1">
    <w:name w:val="Grid Table 6 Colorful"/>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6 Colorful - Accent 1"/>
    <w:basedOn w:val="6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4" w:customStyle="1">
    <w:name w:val="Grid Table 6 Colorful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5" w:customStyle="1">
    <w:name w:val="Grid Table 6 Colorful - Accent 3"/>
    <w:basedOn w:val="6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6" w:customStyle="1">
    <w:name w:val="Grid Table 6 Colorful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7" w:customStyle="1">
    <w:name w:val="Grid Table 6 Colorful - Accent 5"/>
    <w:basedOn w:val="6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6 Colorful - Accent 6"/>
    <w:basedOn w:val="6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7 Colorful"/>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Grid Table 7 Colorful - Accent 1"/>
    <w:basedOn w:val="6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1" w:customStyle="1">
    <w:name w:val="Grid Table 7 Colorful - Accent 2"/>
    <w:basedOn w:val="6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7 Colorful - Accent 3"/>
    <w:basedOn w:val="6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7 Colorful - Accent 4"/>
    <w:basedOn w:val="6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7 Colorful - Accent 5"/>
    <w:basedOn w:val="6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5" w:customStyle="1">
    <w:name w:val="Grid Table 7 Colorful - Accent 6"/>
    <w:basedOn w:val="6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6" w:customStyle="1">
    <w:name w:val="List Table 1 Light"/>
    <w:basedOn w:val="6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1 Light - Accent 1"/>
    <w:basedOn w:val="63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8" w:customStyle="1">
    <w:name w:val="List Table 1 Light - Accent 2"/>
    <w:basedOn w:val="63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9" w:customStyle="1">
    <w:name w:val="List Table 1 Light - Accent 3"/>
    <w:basedOn w:val="63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0" w:customStyle="1">
    <w:name w:val="List Table 1 Light - Accent 4"/>
    <w:basedOn w:val="63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1" w:customStyle="1">
    <w:name w:val="List Table 1 Light - Accent 5"/>
    <w:basedOn w:val="63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List Table 1 Light - Accent 6"/>
    <w:basedOn w:val="63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List Table 2"/>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2 - Accent 1"/>
    <w:basedOn w:val="6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5" w:customStyle="1">
    <w:name w:val="List Table 2 - Accent 2"/>
    <w:basedOn w:val="6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6" w:customStyle="1">
    <w:name w:val="List Table 2 - Accent 3"/>
    <w:basedOn w:val="6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7" w:customStyle="1">
    <w:name w:val="List Table 2 - Accent 4"/>
    <w:basedOn w:val="6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8" w:customStyle="1">
    <w:name w:val="List Table 2 - Accent 5"/>
    <w:basedOn w:val="6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9" w:customStyle="1">
    <w:name w:val="List Table 2 - Accent 6"/>
    <w:basedOn w:val="6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0" w:customStyle="1">
    <w:name w:val="List Table 3"/>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3 - Accent 1"/>
    <w:basedOn w:val="6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2" w:customStyle="1">
    <w:name w:val="List Table 3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3" w:customStyle="1">
    <w:name w:val="List Table 3 - Accent 3"/>
    <w:basedOn w:val="6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4" w:customStyle="1">
    <w:name w:val="List Table 3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5" w:customStyle="1">
    <w:name w:val="List Table 3 - Accent 5"/>
    <w:basedOn w:val="6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6" w:customStyle="1">
    <w:name w:val="List Table 3 - Accent 6"/>
    <w:basedOn w:val="6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7" w:customStyle="1">
    <w:name w:val="List Table 4"/>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 Accent 1"/>
    <w:basedOn w:val="6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9" w:customStyle="1">
    <w:name w:val="List Table 4 - Accent 2"/>
    <w:basedOn w:val="6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0" w:customStyle="1">
    <w:name w:val="List Table 4 - Accent 3"/>
    <w:basedOn w:val="6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1" w:customStyle="1">
    <w:name w:val="List Table 4 - Accent 4"/>
    <w:basedOn w:val="6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2" w:customStyle="1">
    <w:name w:val="List Table 4 - Accent 5"/>
    <w:basedOn w:val="6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3" w:customStyle="1">
    <w:name w:val="List Table 4 - Accent 6"/>
    <w:basedOn w:val="6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4" w:customStyle="1">
    <w:name w:val="List Table 5 Dark"/>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1"/>
    <w:basedOn w:val="6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2"/>
    <w:basedOn w:val="6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3"/>
    <w:basedOn w:val="6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4"/>
    <w:basedOn w:val="6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5"/>
    <w:basedOn w:val="6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6"/>
    <w:basedOn w:val="6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6 Colorful - Accent 1"/>
    <w:basedOn w:val="63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3" w:customStyle="1">
    <w:name w:val="List Table 6 Colorful - Accent 2"/>
    <w:basedOn w:val="63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4" w:customStyle="1">
    <w:name w:val="List Table 6 Colorful - Accent 3"/>
    <w:basedOn w:val="63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5" w:customStyle="1">
    <w:name w:val="List Table 6 Colorful - Accent 4"/>
    <w:basedOn w:val="63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6" w:customStyle="1">
    <w:name w:val="List Table 6 Colorful - Accent 5"/>
    <w:basedOn w:val="63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7" w:customStyle="1">
    <w:name w:val="List Table 6 Colorful - Accent 6"/>
    <w:basedOn w:val="63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8" w:customStyle="1">
    <w:name w:val="List Table 7 Colorful"/>
    <w:basedOn w:val="6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7 Colorful - Accent 1"/>
    <w:basedOn w:val="63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7 Colorful - Accent 2"/>
    <w:basedOn w:val="63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List Table 7 Colorful - Accent 3"/>
    <w:basedOn w:val="63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2" w:customStyle="1">
    <w:name w:val="List Table 7 Colorful - Accent 4"/>
    <w:basedOn w:val="63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List Table 7 Colorful - Accent 5"/>
    <w:basedOn w:val="63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4" w:customStyle="1">
    <w:name w:val="List Table 7 Colorful - Accent 6"/>
    <w:basedOn w:val="63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5" w:customStyle="1">
    <w:name w:val="Lined - Accent"/>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6" w:customStyle="1">
    <w:name w:val="Lined - Accent 1"/>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7" w:customStyle="1">
    <w:name w:val="Lined - Accent 2"/>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8" w:customStyle="1">
    <w:name w:val="Lined - Accent 3"/>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9" w:customStyle="1">
    <w:name w:val="Lined - Accent 4"/>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0" w:customStyle="1">
    <w:name w:val="Lined - Accent 5"/>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1" w:customStyle="1">
    <w:name w:val="Lined - Accent 6"/>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2" w:customStyle="1">
    <w:name w:val="Bordered &amp; Lined - Accent"/>
    <w:basedOn w:val="6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3" w:customStyle="1">
    <w:name w:val="Bordered &amp; Lined - Accent 1"/>
    <w:basedOn w:val="6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4" w:customStyle="1">
    <w:name w:val="Bordered &amp; Lined - Accent 2"/>
    <w:basedOn w:val="6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5" w:customStyle="1">
    <w:name w:val="Bordered &amp; Lined - Accent 3"/>
    <w:basedOn w:val="6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6" w:customStyle="1">
    <w:name w:val="Bordered &amp; Lined - Accent 4"/>
    <w:basedOn w:val="6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7" w:customStyle="1">
    <w:name w:val="Bordered &amp; Lined - Accent 5"/>
    <w:basedOn w:val="6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8" w:customStyle="1">
    <w:name w:val="Bordered &amp; Lined - Accent 6"/>
    <w:basedOn w:val="6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9" w:customStyle="1">
    <w:name w:val="Bordered"/>
    <w:basedOn w:val="6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0" w:customStyle="1">
    <w:name w:val="Bordered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1" w:customStyle="1">
    <w:name w:val="Bordered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2" w:customStyle="1">
    <w:name w:val="Bordered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3" w:customStyle="1">
    <w:name w:val="Bordered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4" w:customStyle="1">
    <w:name w:val="Bordered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5" w:customStyle="1">
    <w:name w:val="Bordered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6" w:customStyle="1">
    <w:name w:val="Footnote Text Char"/>
    <w:uiPriority w:val="99"/>
    <w:qFormat/>
    <w:rPr>
      <w:sz w:val="18"/>
    </w:rPr>
  </w:style>
  <w:style w:type="character" w:styleId="807" w:customStyle="1">
    <w:name w:val="Endnote Text Char"/>
    <w:uiPriority w:val="99"/>
    <w:qFormat/>
    <w:rPr>
      <w:sz w:val="20"/>
    </w:rPr>
  </w:style>
  <w:style w:type="paragraph" w:styleId="808" w:customStyle="1">
    <w:name w:val="TOC Heading"/>
    <w:uiPriority w:val="39"/>
    <w:unhideWhenUsed/>
    <w:qFormat/>
    <w:rPr>
      <w:rFonts w:asciiTheme="minorHAnsi" w:hAnsiTheme="minorHAnsi" w:eastAsiaTheme="minorEastAsia" w:cstheme="minorBidi"/>
      <w:lang w:val="en-US" w:eastAsia="zh-CN" w:bidi="ar-SA"/>
    </w:rPr>
  </w:style>
  <w:style w:type="character" w:styleId="809" w:customStyle="1">
    <w:name w:val="正文文本缩进 Char"/>
    <w:basedOn w:val="636"/>
    <w:link w:val="643"/>
    <w:uiPriority w:val="99"/>
    <w:qFormat/>
    <w:rPr>
      <w:rFonts w:ascii="宋体" w:hAnsi="宋体" w:eastAsia="宋体" w:cs="宋体"/>
      <w:sz w:val="48"/>
      <w:lang w:val="zh-CN" w:bidi="zh-CN"/>
    </w:rPr>
  </w:style>
  <w:style w:type="character" w:styleId="810" w:customStyle="1">
    <w:name w:val="标题 1 Char"/>
    <w:basedOn w:val="636"/>
    <w:link w:val="627"/>
    <w:uiPriority w:val="0"/>
    <w:qFormat/>
    <w:rPr>
      <w:rFonts w:ascii="宋体" w:hAnsi="宋体" w:eastAsia="宋体" w:cs="宋体"/>
      <w:b/>
      <w:bCs/>
      <w:sz w:val="44"/>
      <w:szCs w:val="44"/>
      <w:lang w:val="zh-CN" w:bidi="zh-CN"/>
    </w:rPr>
  </w:style>
  <w:style w:type="character" w:styleId="811" w:customStyle="1">
    <w:name w:val="标题 2 Char"/>
    <w:basedOn w:val="636"/>
    <w:link w:val="628"/>
    <w:uiPriority w:val="0"/>
    <w:qFormat/>
    <w:rPr>
      <w:rFonts w:ascii="宋体" w:hAnsi="宋体" w:eastAsia="宋体" w:cs="宋体"/>
      <w:sz w:val="32"/>
      <w:szCs w:val="32"/>
      <w:lang w:val="zh-CN" w:bidi="zh-CN"/>
    </w:rPr>
  </w:style>
  <w:style w:type="character" w:styleId="812" w:customStyle="1">
    <w:name w:val="标题 3 Char"/>
    <w:basedOn w:val="636"/>
    <w:link w:val="629"/>
    <w:uiPriority w:val="9"/>
    <w:qFormat/>
    <w:rPr>
      <w:rFonts w:ascii="Arial" w:hAnsi="Arial" w:eastAsia="Arial" w:cs="Arial"/>
      <w:sz w:val="30"/>
      <w:szCs w:val="30"/>
      <w:lang w:val="zh-CN" w:bidi="zh-CN"/>
    </w:rPr>
  </w:style>
  <w:style w:type="character" w:styleId="813" w:customStyle="1">
    <w:name w:val="标题 4 Char"/>
    <w:basedOn w:val="636"/>
    <w:link w:val="630"/>
    <w:uiPriority w:val="9"/>
    <w:semiHidden/>
    <w:qFormat/>
    <w:rPr>
      <w:rFonts w:asciiTheme="majorHAnsi" w:hAnsiTheme="majorHAnsi" w:eastAsiaTheme="majorEastAsia" w:cstheme="majorBidi"/>
      <w:b/>
      <w:bCs/>
      <w:sz w:val="28"/>
      <w:szCs w:val="28"/>
      <w:lang w:val="zh-CN" w:bidi="zh-CN"/>
    </w:rPr>
  </w:style>
  <w:style w:type="character" w:styleId="814" w:customStyle="1">
    <w:name w:val="标题 6 Char"/>
    <w:basedOn w:val="636"/>
    <w:link w:val="632"/>
    <w:uiPriority w:val="9"/>
    <w:qFormat/>
    <w:rPr>
      <w:rFonts w:ascii="Arial" w:hAnsi="Arial" w:eastAsia="Arial" w:cs="Arial"/>
      <w:b/>
      <w:bCs/>
      <w:sz w:val="22"/>
      <w:lang w:val="zh-CN" w:bidi="zh-CN"/>
    </w:rPr>
  </w:style>
  <w:style w:type="character" w:styleId="815" w:customStyle="1">
    <w:name w:val="标题 7 Char"/>
    <w:basedOn w:val="636"/>
    <w:link w:val="633"/>
    <w:uiPriority w:val="9"/>
    <w:qFormat/>
    <w:rPr>
      <w:rFonts w:ascii="Arial" w:hAnsi="Arial" w:eastAsia="Arial" w:cs="Arial"/>
      <w:b/>
      <w:bCs/>
      <w:i/>
      <w:iCs/>
      <w:sz w:val="22"/>
      <w:lang w:val="zh-CN" w:bidi="zh-CN"/>
    </w:rPr>
  </w:style>
  <w:style w:type="character" w:styleId="816" w:customStyle="1">
    <w:name w:val="标题 8 Char"/>
    <w:basedOn w:val="636"/>
    <w:link w:val="634"/>
    <w:uiPriority w:val="9"/>
    <w:qFormat/>
    <w:rPr>
      <w:rFonts w:ascii="Arial" w:hAnsi="Arial" w:eastAsia="Arial" w:cs="Arial"/>
      <w:i/>
      <w:iCs/>
      <w:sz w:val="22"/>
      <w:lang w:val="zh-CN" w:bidi="zh-CN"/>
    </w:rPr>
  </w:style>
  <w:style w:type="character" w:styleId="817" w:customStyle="1">
    <w:name w:val="标题 9 Char"/>
    <w:basedOn w:val="636"/>
    <w:link w:val="635"/>
    <w:uiPriority w:val="9"/>
    <w:qFormat/>
    <w:rPr>
      <w:rFonts w:ascii="Arial" w:hAnsi="Arial" w:eastAsia="Arial" w:cs="Arial"/>
      <w:i/>
      <w:iCs/>
      <w:szCs w:val="21"/>
      <w:lang w:val="zh-CN" w:bidi="zh-CN"/>
    </w:rPr>
  </w:style>
  <w:style w:type="character" w:styleId="818" w:customStyle="1">
    <w:name w:val="标题 5 Char"/>
    <w:basedOn w:val="636"/>
    <w:link w:val="631"/>
    <w:uiPriority w:val="9"/>
    <w:semiHidden/>
    <w:qFormat/>
    <w:rPr>
      <w:rFonts w:ascii="宋体" w:hAnsi="宋体" w:eastAsia="宋体" w:cs="宋体"/>
      <w:b/>
      <w:bCs/>
      <w:sz w:val="28"/>
      <w:szCs w:val="28"/>
      <w:lang w:val="zh-CN" w:bidi="zh-CN"/>
    </w:rPr>
  </w:style>
  <w:style w:type="character" w:styleId="819" w:customStyle="1">
    <w:name w:val="正文缩进 Char"/>
    <w:link w:val="639"/>
    <w:uiPriority w:val="0"/>
    <w:qFormat/>
    <w:rPr>
      <w:rFonts w:ascii="宋体" w:hAnsi="宋体" w:eastAsia="宋体" w:cs="宋体"/>
      <w:sz w:val="22"/>
      <w:lang w:val="zh-CN" w:bidi="zh-CN"/>
    </w:rPr>
  </w:style>
  <w:style w:type="character" w:styleId="820" w:customStyle="1">
    <w:name w:val="正文文本 Char"/>
    <w:basedOn w:val="636"/>
    <w:link w:val="641"/>
    <w:uiPriority w:val="1"/>
    <w:qFormat/>
    <w:rPr>
      <w:rFonts w:ascii="宋体" w:eastAsia="宋体" w:cs="宋体"/>
      <w:color w:val="000000"/>
      <w:sz w:val="24"/>
      <w:szCs w:val="24"/>
    </w:rPr>
  </w:style>
  <w:style w:type="character" w:styleId="821" w:customStyle="1">
    <w:name w:val="纯文本 Char"/>
    <w:basedOn w:val="636"/>
    <w:link w:val="648"/>
    <w:uiPriority w:val="0"/>
    <w:qFormat/>
    <w:rPr>
      <w:rFonts w:ascii="宋体" w:hAnsi="Courier New" w:eastAsia="宋体" w:cs="Courier New"/>
      <w:szCs w:val="21"/>
    </w:rPr>
  </w:style>
  <w:style w:type="character" w:styleId="822" w:customStyle="1">
    <w:name w:val="日期 Char"/>
    <w:basedOn w:val="636"/>
    <w:link w:val="650"/>
    <w:uiPriority w:val="99"/>
    <w:semiHidden/>
    <w:qFormat/>
    <w:rPr>
      <w:rFonts w:ascii="宋体" w:hAnsi="宋体" w:eastAsia="宋体" w:cs="宋体"/>
      <w:sz w:val="22"/>
      <w:lang w:val="zh-CN" w:bidi="zh-CN"/>
    </w:rPr>
  </w:style>
  <w:style w:type="character" w:styleId="823" w:customStyle="1">
    <w:name w:val="尾注文本 Char"/>
    <w:basedOn w:val="636"/>
    <w:link w:val="652"/>
    <w:uiPriority w:val="99"/>
    <w:semiHidden/>
    <w:qFormat/>
    <w:rPr>
      <w:rFonts w:ascii="宋体" w:hAnsi="宋体" w:eastAsia="宋体" w:cs="宋体"/>
      <w:sz w:val="20"/>
      <w:lang w:val="zh-CN" w:bidi="zh-CN"/>
    </w:rPr>
  </w:style>
  <w:style w:type="character" w:styleId="824" w:customStyle="1">
    <w:name w:val="批注框文本 Char"/>
    <w:basedOn w:val="636"/>
    <w:link w:val="653"/>
    <w:uiPriority w:val="0"/>
    <w:semiHidden/>
    <w:qFormat/>
    <w:rPr>
      <w:rFonts w:ascii="宋体" w:hAnsi="宋体" w:eastAsia="宋体" w:cs="宋体"/>
      <w:sz w:val="18"/>
      <w:szCs w:val="18"/>
      <w:lang w:val="zh-CN" w:bidi="zh-CN"/>
    </w:rPr>
  </w:style>
  <w:style w:type="character" w:styleId="825" w:customStyle="1">
    <w:name w:val="页脚 Char"/>
    <w:basedOn w:val="636"/>
    <w:link w:val="654"/>
    <w:uiPriority w:val="99"/>
    <w:qFormat/>
    <w:rPr>
      <w:rFonts w:ascii="Times New Roman" w:hAnsi="Times New Roman" w:cs="Times New Roman"/>
      <w:sz w:val="18"/>
      <w:szCs w:val="18"/>
    </w:rPr>
  </w:style>
  <w:style w:type="character" w:styleId="826" w:customStyle="1">
    <w:name w:val="页眉 Char"/>
    <w:basedOn w:val="636"/>
    <w:link w:val="656"/>
    <w:uiPriority w:val="0"/>
    <w:qFormat/>
    <w:rPr>
      <w:rFonts w:ascii="宋体" w:hAnsi="宋体" w:eastAsia="宋体" w:cs="宋体"/>
      <w:sz w:val="18"/>
      <w:szCs w:val="18"/>
      <w:lang w:val="zh-CN" w:bidi="zh-CN"/>
    </w:rPr>
  </w:style>
  <w:style w:type="character" w:styleId="827" w:customStyle="1">
    <w:name w:val="副标题 Char"/>
    <w:basedOn w:val="636"/>
    <w:link w:val="659"/>
    <w:uiPriority w:val="11"/>
    <w:qFormat/>
    <w:rPr>
      <w:rFonts w:ascii="宋体" w:hAnsi="宋体" w:eastAsia="宋体" w:cs="宋体"/>
      <w:sz w:val="24"/>
      <w:szCs w:val="24"/>
      <w:lang w:val="zh-CN" w:bidi="zh-CN"/>
    </w:rPr>
  </w:style>
  <w:style w:type="character" w:styleId="828" w:customStyle="1">
    <w:name w:val="脚注文本 Char"/>
    <w:basedOn w:val="636"/>
    <w:link w:val="660"/>
    <w:uiPriority w:val="99"/>
    <w:semiHidden/>
    <w:qFormat/>
    <w:rPr>
      <w:rFonts w:ascii="宋体" w:hAnsi="宋体" w:eastAsia="宋体" w:cs="宋体"/>
      <w:sz w:val="18"/>
      <w:lang w:val="zh-CN" w:bidi="zh-CN"/>
    </w:rPr>
  </w:style>
  <w:style w:type="character" w:styleId="829" w:customStyle="1">
    <w:name w:val="标题 Char"/>
    <w:basedOn w:val="636"/>
    <w:link w:val="666"/>
    <w:uiPriority w:val="10"/>
    <w:qFormat/>
    <w:rPr>
      <w:rFonts w:ascii="宋体" w:hAnsi="宋体" w:eastAsia="宋体" w:cs="宋体"/>
      <w:sz w:val="48"/>
      <w:szCs w:val="48"/>
      <w:lang w:val="zh-CN" w:bidi="zh-CN"/>
    </w:rPr>
  </w:style>
  <w:style w:type="character" w:styleId="830" w:customStyle="1">
    <w:name w:val="正文首行缩进 2 Char"/>
    <w:basedOn w:val="809"/>
    <w:link w:val="667"/>
    <w:uiPriority w:val="99"/>
    <w:semiHidden/>
    <w:qFormat/>
    <w:rPr>
      <w:rFonts w:ascii="宋体" w:hAnsi="宋体" w:eastAsia="宋体" w:cs="宋体"/>
      <w:sz w:val="22"/>
      <w:lang w:val="zh-CN" w:bidi="zh-CN"/>
    </w:rPr>
  </w:style>
  <w:style w:type="character" w:styleId="831" w:customStyle="1">
    <w:name w:val="Heading 1 Char"/>
    <w:basedOn w:val="636"/>
    <w:uiPriority w:val="9"/>
    <w:qFormat/>
    <w:rPr>
      <w:rFonts w:ascii="Arial" w:hAnsi="Arial" w:eastAsia="Arial" w:cs="Arial"/>
      <w:sz w:val="40"/>
      <w:szCs w:val="40"/>
    </w:rPr>
  </w:style>
  <w:style w:type="character" w:styleId="832" w:customStyle="1">
    <w:name w:val="Heading 2 Char"/>
    <w:basedOn w:val="636"/>
    <w:uiPriority w:val="9"/>
    <w:qFormat/>
    <w:rPr>
      <w:rFonts w:ascii="Arial" w:hAnsi="Arial" w:eastAsia="Arial" w:cs="Arial"/>
      <w:sz w:val="34"/>
    </w:rPr>
  </w:style>
  <w:style w:type="character" w:styleId="833" w:customStyle="1">
    <w:name w:val="Heading 4 Char"/>
    <w:basedOn w:val="636"/>
    <w:uiPriority w:val="9"/>
    <w:qFormat/>
    <w:rPr>
      <w:rFonts w:ascii="Arial" w:hAnsi="Arial" w:eastAsia="Arial" w:cs="Arial"/>
      <w:b/>
      <w:bCs/>
      <w:sz w:val="26"/>
      <w:szCs w:val="26"/>
    </w:rPr>
  </w:style>
  <w:style w:type="character" w:styleId="834" w:customStyle="1">
    <w:name w:val="Heading 5 Char"/>
    <w:basedOn w:val="636"/>
    <w:uiPriority w:val="9"/>
    <w:qFormat/>
    <w:rPr>
      <w:rFonts w:ascii="Arial" w:hAnsi="Arial" w:eastAsia="Arial" w:cs="Arial"/>
      <w:b/>
      <w:bCs/>
      <w:sz w:val="24"/>
      <w:szCs w:val="24"/>
    </w:rPr>
  </w:style>
  <w:style w:type="paragraph" w:styleId="835">
    <w:name w:val="No Spacing"/>
    <w:uiPriority w:val="1"/>
    <w:qFormat/>
    <w:rPr>
      <w:rFonts w:ascii="Times New Roman" w:hAnsi="Times New Roman" w:eastAsia="宋体" w:cs="Times New Roman"/>
      <w:lang w:val="en-US" w:eastAsia="zh-CN" w:bidi="ar-SA"/>
    </w:rPr>
  </w:style>
  <w:style w:type="paragraph" w:styleId="836">
    <w:name w:val="Quote"/>
    <w:basedOn w:val="626"/>
    <w:next w:val="626"/>
    <w:link w:val="837"/>
    <w:uiPriority w:val="29"/>
    <w:qFormat/>
    <w:pPr>
      <w:ind w:left="720" w:right="720"/>
    </w:pPr>
    <w:rPr>
      <w:i/>
    </w:rPr>
  </w:style>
  <w:style w:type="character" w:styleId="837" w:customStyle="1">
    <w:name w:val="引用 Char"/>
    <w:basedOn w:val="636"/>
    <w:link w:val="836"/>
    <w:uiPriority w:val="29"/>
    <w:qFormat/>
    <w:rPr>
      <w:rFonts w:ascii="宋体" w:hAnsi="宋体" w:eastAsia="宋体" w:cs="宋体"/>
      <w:i/>
      <w:sz w:val="22"/>
      <w:lang w:val="zh-CN" w:bidi="zh-CN"/>
    </w:rPr>
  </w:style>
  <w:style w:type="paragraph" w:styleId="838">
    <w:name w:val="Intense Quote"/>
    <w:basedOn w:val="626"/>
    <w:next w:val="626"/>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Char"/>
    <w:basedOn w:val="636"/>
    <w:link w:val="838"/>
    <w:uiPriority w:val="30"/>
    <w:qFormat/>
    <w:rPr>
      <w:rFonts w:ascii="宋体" w:hAnsi="宋体" w:eastAsia="宋体" w:cs="宋体"/>
      <w:i/>
      <w:sz w:val="22"/>
      <w:shd w:val="clear" w:color="auto" w:fill="f2f2f2"/>
      <w:lang w:val="zh-CN" w:bidi="zh-CN"/>
    </w:rPr>
  </w:style>
  <w:style w:type="character" w:styleId="840" w:customStyle="1">
    <w:name w:val="Header Char"/>
    <w:basedOn w:val="636"/>
    <w:uiPriority w:val="99"/>
    <w:qFormat/>
  </w:style>
  <w:style w:type="character" w:styleId="841" w:customStyle="1">
    <w:name w:val="Footer Char"/>
    <w:basedOn w:val="636"/>
    <w:uiPriority w:val="99"/>
    <w:qFormat/>
  </w:style>
  <w:style w:type="character" w:styleId="842" w:customStyle="1">
    <w:name w:val="Caption Char"/>
    <w:uiPriority w:val="99"/>
    <w:qFormat/>
  </w:style>
  <w:style w:type="table" w:styleId="843" w:customStyle="1">
    <w:name w:val="无格式表格 21"/>
    <w:basedOn w:val="637"/>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637"/>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name w:val="List Paragraph"/>
    <w:basedOn w:val="626"/>
    <w:uiPriority w:val="99"/>
    <w:qFormat/>
    <w:pPr>
      <w:ind w:firstLine="420"/>
    </w:pPr>
  </w:style>
  <w:style w:type="character" w:styleId="847" w:customStyle="1">
    <w:name w:val="NormalCharacter"/>
    <w:uiPriority w:val="0"/>
    <w:qFormat/>
  </w:style>
  <w:style w:type="paragraph" w:styleId="848" w:customStyle="1">
    <w:name w:val="_Style 27"/>
    <w:uiPriority w:val="0"/>
    <w:qFormat/>
    <w:pPr>
      <w:widowControl w:val="off"/>
    </w:pPr>
    <w:rPr>
      <w:rFonts w:ascii="宋体" w:hAnsi="宋体" w:eastAsia="宋体" w:cs="宋体"/>
      <w:sz w:val="22"/>
      <w:szCs w:val="22"/>
      <w:lang w:val="zh-CN" w:eastAsia="zh-CN" w:bidi="zh-CN"/>
    </w:rPr>
  </w:style>
  <w:style w:type="paragraph" w:styleId="849" w:customStyle="1">
    <w:name w:val="首行缩进"/>
    <w:basedOn w:val="626"/>
    <w:uiPriority w:val="0"/>
    <w:qFormat/>
    <w:pPr>
      <w:ind w:firstLine="480"/>
      <w:jc w:val="both"/>
      <w:spacing w:line="360" w:lineRule="auto"/>
    </w:pPr>
    <w:rPr>
      <w:rFonts w:ascii="Calibri" w:hAnsi="Calibri" w:eastAsia="Calibri"/>
      <w:sz w:val="20"/>
      <w:szCs w:val="20"/>
      <w:lang w:bidi="ar-SA"/>
    </w:rPr>
  </w:style>
  <w:style w:type="paragraph" w:styleId="850" w:customStyle="1">
    <w:name w:val="p0"/>
    <w:basedOn w:val="626"/>
    <w:uiPriority w:val="0"/>
    <w:qFormat/>
    <w:pPr>
      <w:jc w:val="both"/>
      <w:widowControl/>
    </w:pPr>
    <w:rPr>
      <w:rFonts w:ascii="Calibri" w:hAnsi="Calibri" w:cs="Times New Roman"/>
      <w:sz w:val="21"/>
      <w:szCs w:val="21"/>
      <w:lang w:val="en-US" w:bidi="ar-SA"/>
    </w:rPr>
  </w:style>
  <w:style w:type="character" w:styleId="851" w:customStyle="1">
    <w:name w:val="rvts12"/>
    <w:uiPriority w:val="0"/>
    <w:qFormat/>
    <w:rPr>
      <w:rFonts w:hint="default" w:ascii="KNLe" w:hAnsi="KNLe"/>
      <w:color w:val="000000"/>
      <w:sz w:val="24"/>
      <w:szCs w:val="24"/>
    </w:rPr>
  </w:style>
  <w:style w:type="paragraph" w:styleId="852" w:customStyle="1">
    <w:name w:val="Table Paragraph"/>
    <w:basedOn w:val="626"/>
    <w:uiPriority w:val="1"/>
    <w:qFormat/>
    <w:pPr>
      <w:jc w:val="center"/>
    </w:pPr>
    <w:rPr>
      <w:sz w:val="21"/>
      <w:szCs w:val="24"/>
    </w:rPr>
  </w:style>
  <w:style w:type="character" w:styleId="853" w:customStyle="1">
    <w:name w:val="font11"/>
    <w:basedOn w:val="636"/>
    <w:uiPriority w:val="0"/>
    <w:qFormat/>
    <w:rPr>
      <w:rFonts w:hint="eastAsia" w:ascii="仿宋" w:hAnsi="仿宋" w:eastAsia="仿宋" w:cs="仿宋"/>
      <w:color w:val="000000"/>
      <w:sz w:val="18"/>
      <w:szCs w:val="18"/>
      <w:u w:val="none"/>
    </w:rPr>
  </w:style>
  <w:style w:type="paragraph" w:styleId="854" w:customStyle="1">
    <w:name w:val="Char"/>
    <w:basedOn w:val="626"/>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855" w:customStyle="1">
    <w:name w:val="普通正文"/>
    <w:basedOn w:val="626"/>
    <w:uiPriority w:val="0"/>
    <w:qFormat/>
    <w:pPr>
      <w:ind w:firstLine="480"/>
      <w:spacing w:before="120" w:after="120" w:line="360" w:lineRule="auto"/>
    </w:pPr>
    <w:rPr>
      <w:rFonts w:ascii="Arial" w:hAnsi="Arial" w:cs="Times New Roman"/>
      <w:sz w:val="24"/>
      <w:szCs w:val="24"/>
      <w:lang w:val="en-US" w:bidi="ar-SA"/>
    </w:rPr>
  </w:style>
  <w:style w:type="paragraph" w:styleId="856" w:customStyle="1">
    <w:name w:val="索引 41"/>
    <w:basedOn w:val="626"/>
    <w:next w:val="626"/>
    <w:uiPriority w:val="0"/>
    <w:semiHidden/>
    <w:qFormat/>
    <w:pPr>
      <w:ind w:left="1260"/>
      <w:jc w:val="both"/>
    </w:pPr>
    <w:rPr>
      <w:rFonts w:ascii="Calibri" w:hAnsi="Calibri" w:eastAsia="Calibri"/>
      <w:sz w:val="20"/>
      <w:lang w:bidi="ar-SA"/>
    </w:rPr>
  </w:style>
  <w:style w:type="character" w:styleId="857" w:customStyle="1">
    <w:name w:val="Quote Char"/>
    <w:uiPriority w:val="29"/>
    <w:qFormat/>
    <w:rPr>
      <w:i/>
    </w:rPr>
  </w:style>
  <w:style w:type="paragraph" w:styleId="858" w:customStyle="1">
    <w:name w:val="样式1"/>
    <w:basedOn w:val="648"/>
    <w:uiPriority w:val="0"/>
    <w:qFormat/>
    <w:pPr>
      <w:jc w:val="left"/>
    </w:pPr>
    <w:rPr>
      <w:rFonts w:hAnsi="宋体" w:cs="宋体"/>
      <w:sz w:val="20"/>
      <w:szCs w:val="22"/>
      <w:lang w:val="zh-CN" w:bidi="zh-CN"/>
    </w:rPr>
  </w:style>
  <w:style w:type="paragraph" w:styleId="859" w:customStyle="1">
    <w:name w:val="纯文本1"/>
    <w:basedOn w:val="626"/>
    <w:uiPriority w:val="0"/>
    <w:qFormat/>
    <w:rPr>
      <w:rFonts w:ascii="宋体" w:hAnsi="Courier New"/>
      <w:sz w:val="20"/>
      <w:szCs w:val="21"/>
    </w:rPr>
  </w:style>
  <w:style w:type="paragraph" w:styleId="860" w:customStyle="1">
    <w:name w:val="样式 首行缩进:  2 字符"/>
    <w:basedOn w:val="626"/>
    <w:uiPriority w:val="0"/>
    <w:qFormat/>
    <w:pPr>
      <w:ind w:firstLine="480"/>
      <w:spacing w:line="360" w:lineRule="auto"/>
    </w:pPr>
    <w:rPr>
      <w:rFonts w:eastAsia="宋体"/>
      <w:sz w:val="24"/>
      <w:lang w:val="en-US"/>
    </w:rPr>
  </w:style>
  <w:style w:type="paragraph" w:styleId="861" w:customStyle="1">
    <w:name w:val="纯文本11"/>
    <w:basedOn w:val="626"/>
    <w:uiPriority w:val="0"/>
    <w:qFormat/>
    <w:rPr>
      <w:rFonts w:ascii="宋体" w:hAnsi="Courier New" w:eastAsia="宋体" w:cs="Courier New"/>
      <w:szCs w:val="21"/>
    </w:rPr>
  </w:style>
  <w:style w:type="numbering" w:styleId="65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1"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2"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3"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4"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5"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98739436" TargetMode="External"/><Relationship Id="rId17" Type="http://schemas.openxmlformats.org/officeDocument/2006/relationships/hyperlink" Target="https://njgc.jfh.com/" TargetMode="External"/><Relationship Id="rId18" Type="http://schemas.openxmlformats.org/officeDocument/2006/relationships/hyperlink" Target="http://180.101.238.212:8280/hodeframe2018_cxda/index.action;jsessionid=769BA9C8E1729422E7173B991C8EC1E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1E36581E-079F-495B-ABA3-CEEA2D9664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厉薇</cp:lastModifiedBy>
  <cp:revision>26</cp:revision>
  <dcterms:created xsi:type="dcterms:W3CDTF">2025-06-17T10:10:00Z</dcterms:created>
  <dcterms:modified xsi:type="dcterms:W3CDTF">2026-01-07T09:37:02Z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2052-12.1.0.24034</vt:lpwstr>
  </property>
  <property fmtid="{D5CDD505-2E9C-101B-9397-08002B2CF9AE}" pid="4" name="ICV">
    <vt:lpwstr>1F7DA11F4926494B942E7F3B25D7BDC0_13</vt:lpwstr>
  </property>
</Properties>
</file>